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1FFB4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outlineLvl w:val="9"/>
        <w:rPr>
          <w:rFonts w:hint="eastAsia" w:ascii="方正小标宋_GBK" w:hAnsi="方正小标宋_GBK" w:eastAsia="方正小标宋_GBK" w:cs="方正小标宋_GBK"/>
          <w:b/>
          <w:sz w:val="44"/>
          <w:szCs w:val="44"/>
          <w:lang w:eastAsia="zh-CN"/>
        </w:rPr>
      </w:pPr>
      <w:r>
        <w:rPr>
          <w:rFonts w:hint="eastAsia" w:ascii="方正小标宋_GBK" w:hAnsi="方正小标宋_GBK" w:eastAsia="方正小标宋_GBK" w:cs="方正小标宋_GBK"/>
          <w:b/>
          <w:sz w:val="44"/>
          <w:szCs w:val="44"/>
          <w:lang w:eastAsia="zh-CN"/>
        </w:rPr>
        <w:t>石家庄市经营主体</w:t>
      </w:r>
    </w:p>
    <w:p w14:paraId="225FFB3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outlineLvl w:val="9"/>
        <w:rPr>
          <w:rFonts w:hint="eastAsia" w:ascii="仿宋" w:hAnsi="仿宋" w:eastAsia="仿宋"/>
          <w:sz w:val="28"/>
        </w:rPr>
      </w:pPr>
      <w:r>
        <w:rPr>
          <w:rFonts w:hint="eastAsia" w:ascii="方正小标宋_GBK" w:hAnsi="方正小标宋_GBK" w:eastAsia="方正小标宋_GBK" w:cs="方正小标宋_GBK"/>
          <w:b/>
          <w:sz w:val="44"/>
          <w:szCs w:val="44"/>
        </w:rPr>
        <w:t>202</w:t>
      </w:r>
      <w:r>
        <w:rPr>
          <w:rFonts w:hint="eastAsia" w:ascii="方正小标宋_GBK" w:hAnsi="方正小标宋_GBK" w:eastAsia="方正小标宋_GBK" w:cs="方正小标宋_GBK"/>
          <w:b/>
          <w:sz w:val="44"/>
          <w:szCs w:val="44"/>
          <w:lang w:val="en-US" w:eastAsia="zh-CN"/>
        </w:rPr>
        <w:t>5</w:t>
      </w:r>
      <w:r>
        <w:rPr>
          <w:rFonts w:hint="eastAsia" w:ascii="方正小标宋_GBK" w:hAnsi="方正小标宋_GBK" w:eastAsia="方正小标宋_GBK" w:cs="方正小标宋_GBK"/>
          <w:b/>
          <w:sz w:val="44"/>
          <w:szCs w:val="44"/>
        </w:rPr>
        <w:t>年度年报</w:t>
      </w:r>
      <w:r>
        <w:rPr>
          <w:rFonts w:hint="eastAsia" w:ascii="方正小标宋_GBK" w:hAnsi="方正小标宋_GBK" w:eastAsia="方正小标宋_GBK" w:cs="方正小标宋_GBK"/>
          <w:b/>
          <w:sz w:val="44"/>
          <w:szCs w:val="44"/>
          <w:lang w:eastAsia="zh-CN"/>
        </w:rPr>
        <w:t>公示</w:t>
      </w:r>
      <w:r>
        <w:rPr>
          <w:rFonts w:hint="eastAsia" w:ascii="方正小标宋_GBK" w:hAnsi="方正小标宋_GBK" w:eastAsia="方正小标宋_GBK" w:cs="方正小标宋_GBK"/>
          <w:b/>
          <w:sz w:val="44"/>
          <w:szCs w:val="44"/>
        </w:rPr>
        <w:t>指南</w:t>
      </w:r>
    </w:p>
    <w:p w14:paraId="625EF481">
      <w:pPr>
        <w:ind w:firstLine="560" w:firstLineChars="200"/>
        <w:jc w:val="left"/>
        <w:rPr>
          <w:rFonts w:hint="eastAsia" w:ascii="仿宋" w:hAnsi="仿宋" w:eastAsia="仿宋"/>
          <w:sz w:val="28"/>
        </w:rPr>
      </w:pPr>
    </w:p>
    <w:p w14:paraId="6D8F9C1D">
      <w:pPr>
        <w:ind w:firstLine="560" w:firstLineChars="200"/>
        <w:jc w:val="left"/>
        <w:rPr>
          <w:rFonts w:ascii="仿宋" w:hAnsi="仿宋" w:eastAsia="仿宋"/>
          <w:sz w:val="28"/>
        </w:rPr>
      </w:pPr>
      <w:r>
        <w:rPr>
          <w:rFonts w:hint="eastAsia" w:ascii="仿宋" w:hAnsi="仿宋" w:eastAsia="仿宋"/>
          <w:sz w:val="28"/>
        </w:rPr>
        <w:t>按照</w:t>
      </w:r>
      <w:r>
        <w:rPr>
          <w:rFonts w:hint="eastAsia" w:ascii="仿宋" w:hAnsi="仿宋" w:eastAsia="仿宋"/>
          <w:sz w:val="28"/>
          <w:lang w:eastAsia="zh-CN"/>
        </w:rPr>
        <w:t>《中华人民共和国市场主体登记管理条例》</w:t>
      </w:r>
      <w:r>
        <w:rPr>
          <w:rFonts w:hint="eastAsia" w:ascii="仿宋" w:hAnsi="仿宋" w:eastAsia="仿宋"/>
          <w:sz w:val="28"/>
        </w:rPr>
        <w:t>《企业信息公示暂行条例》《外国企业常驻代表机构登记管理条例》《个体工商户年度报告办法》《农民专业合作社年度报告公示办法》</w:t>
      </w:r>
      <w:r>
        <w:rPr>
          <w:rFonts w:hint="eastAsia" w:ascii="仿宋" w:hAnsi="仿宋" w:eastAsia="仿宋"/>
          <w:sz w:val="28"/>
          <w:lang w:eastAsia="zh-CN"/>
        </w:rPr>
        <w:t>和《中华人民共和国市场主体登记管理条例实施细则》</w:t>
      </w:r>
      <w:r>
        <w:rPr>
          <w:rFonts w:hint="eastAsia" w:ascii="仿宋" w:hAnsi="仿宋" w:eastAsia="仿宋"/>
          <w:sz w:val="28"/>
        </w:rPr>
        <w:t>的规定，石家庄市市场监督管理局在此温馨提示全市</w:t>
      </w:r>
      <w:r>
        <w:rPr>
          <w:rFonts w:hint="eastAsia" w:ascii="仿宋" w:hAnsi="仿宋" w:eastAsia="仿宋"/>
          <w:sz w:val="28"/>
          <w:lang w:eastAsia="zh-CN"/>
        </w:rPr>
        <w:t>经营</w:t>
      </w:r>
      <w:r>
        <w:rPr>
          <w:rFonts w:hint="eastAsia" w:ascii="仿宋" w:hAnsi="仿宋" w:eastAsia="仿宋"/>
          <w:sz w:val="28"/>
        </w:rPr>
        <w:t>主体，202</w:t>
      </w:r>
      <w:r>
        <w:rPr>
          <w:rFonts w:hint="eastAsia" w:ascii="仿宋" w:hAnsi="仿宋" w:eastAsia="仿宋"/>
          <w:sz w:val="28"/>
          <w:lang w:val="en-US" w:eastAsia="zh-CN"/>
        </w:rPr>
        <w:t>5</w:t>
      </w:r>
      <w:r>
        <w:rPr>
          <w:rFonts w:hint="eastAsia" w:ascii="仿宋" w:hAnsi="仿宋" w:eastAsia="仿宋"/>
          <w:sz w:val="28"/>
        </w:rPr>
        <w:t>年度的年报已经开始啦，抓紧行动起来吧！</w:t>
      </w:r>
    </w:p>
    <w:p w14:paraId="3ED3F7DA">
      <w:pPr>
        <w:pStyle w:val="6"/>
        <w:numPr>
          <w:ilvl w:val="0"/>
          <w:numId w:val="1"/>
        </w:numPr>
        <w:ind w:firstLineChars="0"/>
        <w:jc w:val="left"/>
        <w:rPr>
          <w:rFonts w:ascii="仿宋" w:hAnsi="仿宋" w:eastAsia="仿宋"/>
          <w:b/>
          <w:sz w:val="32"/>
        </w:rPr>
      </w:pPr>
      <w:r>
        <w:rPr>
          <w:rFonts w:hint="eastAsia" w:ascii="仿宋" w:hAnsi="仿宋" w:eastAsia="仿宋"/>
          <w:b/>
          <w:sz w:val="32"/>
        </w:rPr>
        <w:t>谁需要年报？</w:t>
      </w:r>
    </w:p>
    <w:p w14:paraId="1549FDDE">
      <w:pPr>
        <w:ind w:firstLine="560" w:firstLineChars="200"/>
        <w:jc w:val="left"/>
        <w:rPr>
          <w:rFonts w:hint="eastAsia" w:ascii="仿宋" w:hAnsi="仿宋" w:eastAsia="仿宋"/>
          <w:sz w:val="28"/>
        </w:rPr>
      </w:pPr>
      <w:r>
        <w:rPr>
          <w:rFonts w:hint="eastAsia" w:ascii="仿宋" w:hAnsi="仿宋" w:eastAsia="仿宋"/>
          <w:sz w:val="28"/>
        </w:rPr>
        <w:t>凡202</w:t>
      </w:r>
      <w:r>
        <w:rPr>
          <w:rFonts w:hint="eastAsia" w:ascii="仿宋" w:hAnsi="仿宋" w:eastAsia="仿宋"/>
          <w:sz w:val="28"/>
          <w:lang w:val="en-US" w:eastAsia="zh-CN"/>
        </w:rPr>
        <w:t>5</w:t>
      </w:r>
      <w:r>
        <w:rPr>
          <w:rFonts w:hint="eastAsia" w:ascii="仿宋" w:hAnsi="仿宋" w:eastAsia="仿宋"/>
          <w:sz w:val="28"/>
        </w:rPr>
        <w:t>年12月31日（含）前在石家庄市各级</w:t>
      </w:r>
      <w:r>
        <w:rPr>
          <w:rFonts w:hint="eastAsia" w:ascii="仿宋" w:hAnsi="仿宋" w:eastAsia="仿宋"/>
          <w:sz w:val="28"/>
          <w:lang w:eastAsia="zh-CN"/>
        </w:rPr>
        <w:t>登记机关</w:t>
      </w:r>
      <w:r>
        <w:rPr>
          <w:rFonts w:hint="eastAsia" w:ascii="仿宋" w:hAnsi="仿宋" w:eastAsia="仿宋"/>
          <w:sz w:val="28"/>
        </w:rPr>
        <w:t>领取营业执照的①企业②农民专业合作社③个体工商户④外国企业常驻代表机构，均应向市场监督管理部门报送202</w:t>
      </w:r>
      <w:r>
        <w:rPr>
          <w:rFonts w:hint="eastAsia" w:ascii="仿宋" w:hAnsi="仿宋" w:eastAsia="仿宋"/>
          <w:sz w:val="28"/>
          <w:lang w:val="en-US" w:eastAsia="zh-CN"/>
        </w:rPr>
        <w:t>5</w:t>
      </w:r>
      <w:r>
        <w:rPr>
          <w:rFonts w:hint="eastAsia" w:ascii="仿宋" w:hAnsi="仿宋" w:eastAsia="仿宋"/>
          <w:sz w:val="28"/>
        </w:rPr>
        <w:t>年度报告</w:t>
      </w:r>
      <w:r>
        <w:rPr>
          <w:rFonts w:hint="eastAsia" w:ascii="仿宋" w:hAnsi="仿宋" w:eastAsia="仿宋"/>
          <w:sz w:val="28"/>
          <w:lang w:eastAsia="zh-CN"/>
        </w:rPr>
        <w:t>，并对公示的年度报告信息的真实性、及时性负责</w:t>
      </w:r>
      <w:r>
        <w:rPr>
          <w:rFonts w:hint="eastAsia" w:ascii="仿宋" w:hAnsi="仿宋" w:eastAsia="仿宋"/>
          <w:sz w:val="28"/>
        </w:rPr>
        <w:t>。</w:t>
      </w:r>
    </w:p>
    <w:p w14:paraId="792F798C">
      <w:pPr>
        <w:pStyle w:val="2"/>
        <w:ind w:left="0" w:leftChars="0" w:firstLine="560" w:firstLineChars="200"/>
        <w:rPr>
          <w:rFonts w:hint="eastAsia" w:eastAsia="仿宋"/>
          <w:lang w:eastAsia="zh-CN"/>
        </w:rPr>
      </w:pPr>
      <w:r>
        <w:rPr>
          <w:rFonts w:hint="eastAsia" w:ascii="仿宋" w:hAnsi="仿宋" w:eastAsia="仿宋"/>
          <w:sz w:val="28"/>
          <w:lang w:eastAsia="zh-CN"/>
        </w:rPr>
        <w:t>办理歇业备案的经营主体仍应当公示年度报告。</w:t>
      </w:r>
    </w:p>
    <w:p w14:paraId="48F1001E">
      <w:pPr>
        <w:pStyle w:val="6"/>
        <w:numPr>
          <w:ilvl w:val="0"/>
          <w:numId w:val="1"/>
        </w:numPr>
        <w:ind w:firstLineChars="0"/>
        <w:jc w:val="left"/>
        <w:rPr>
          <w:rFonts w:ascii="仿宋" w:hAnsi="仿宋" w:eastAsia="仿宋"/>
          <w:b/>
          <w:sz w:val="32"/>
        </w:rPr>
      </w:pPr>
      <w:r>
        <w:rPr>
          <w:rFonts w:hint="eastAsia" w:ascii="仿宋" w:hAnsi="仿宋" w:eastAsia="仿宋"/>
          <w:b/>
          <w:sz w:val="32"/>
        </w:rPr>
        <w:t>什么时间年报？</w:t>
      </w:r>
    </w:p>
    <w:p w14:paraId="612B2D32">
      <w:pPr>
        <w:pStyle w:val="6"/>
        <w:numPr>
          <w:ilvl w:val="0"/>
          <w:numId w:val="2"/>
        </w:numPr>
        <w:ind w:firstLineChars="0"/>
        <w:jc w:val="left"/>
        <w:rPr>
          <w:rFonts w:ascii="仿宋" w:hAnsi="仿宋" w:eastAsia="仿宋"/>
          <w:sz w:val="28"/>
        </w:rPr>
      </w:pPr>
      <w:r>
        <w:rPr>
          <w:rFonts w:hint="eastAsia" w:ascii="仿宋" w:hAnsi="仿宋" w:eastAsia="仿宋"/>
          <w:sz w:val="28"/>
        </w:rPr>
        <w:t>企业②农民专业合作社③个体工商户：202</w:t>
      </w:r>
      <w:r>
        <w:rPr>
          <w:rFonts w:hint="eastAsia" w:ascii="仿宋" w:hAnsi="仿宋" w:eastAsia="仿宋"/>
          <w:sz w:val="28"/>
          <w:lang w:val="en-US" w:eastAsia="zh-CN"/>
        </w:rPr>
        <w:t>6</w:t>
      </w:r>
      <w:r>
        <w:rPr>
          <w:rFonts w:hint="eastAsia" w:ascii="仿宋" w:hAnsi="仿宋" w:eastAsia="仿宋"/>
          <w:sz w:val="28"/>
        </w:rPr>
        <w:t>年1月1日至6月30日期间；</w:t>
      </w:r>
    </w:p>
    <w:p w14:paraId="75ECD0DE">
      <w:pPr>
        <w:jc w:val="left"/>
        <w:rPr>
          <w:rFonts w:ascii="仿宋" w:hAnsi="仿宋" w:eastAsia="仿宋"/>
          <w:sz w:val="28"/>
        </w:rPr>
      </w:pPr>
      <w:r>
        <w:rPr>
          <w:rFonts w:hint="eastAsia" w:ascii="仿宋" w:hAnsi="仿宋" w:eastAsia="仿宋"/>
          <w:sz w:val="28"/>
        </w:rPr>
        <w:t>④外国企业常驻代表机构：202</w:t>
      </w:r>
      <w:r>
        <w:rPr>
          <w:rFonts w:hint="eastAsia" w:ascii="仿宋" w:hAnsi="仿宋" w:eastAsia="仿宋"/>
          <w:sz w:val="28"/>
          <w:lang w:val="en-US" w:eastAsia="zh-CN"/>
        </w:rPr>
        <w:t>6</w:t>
      </w:r>
      <w:r>
        <w:rPr>
          <w:rFonts w:hint="eastAsia" w:ascii="仿宋" w:hAnsi="仿宋" w:eastAsia="仿宋"/>
          <w:sz w:val="28"/>
        </w:rPr>
        <w:t>年3月1日至6月30日期间。</w:t>
      </w:r>
    </w:p>
    <w:p w14:paraId="4DBDFC66">
      <w:pPr>
        <w:pStyle w:val="6"/>
        <w:numPr>
          <w:ilvl w:val="0"/>
          <w:numId w:val="1"/>
        </w:numPr>
        <w:ind w:firstLineChars="0"/>
        <w:jc w:val="left"/>
        <w:rPr>
          <w:rFonts w:ascii="仿宋" w:hAnsi="仿宋" w:eastAsia="仿宋"/>
          <w:b/>
          <w:sz w:val="32"/>
        </w:rPr>
      </w:pPr>
      <w:r>
        <w:rPr>
          <w:rFonts w:hint="eastAsia" w:ascii="仿宋" w:hAnsi="仿宋" w:eastAsia="仿宋"/>
          <w:b/>
          <w:sz w:val="32"/>
        </w:rPr>
        <w:t>年报的方式有哪些？</w:t>
      </w:r>
    </w:p>
    <w:p w14:paraId="13F89194">
      <w:pPr>
        <w:ind w:firstLine="560" w:firstLineChars="200"/>
        <w:jc w:val="left"/>
        <w:rPr>
          <w:rFonts w:hint="eastAsia" w:ascii="仿宋" w:hAnsi="仿宋" w:eastAsia="仿宋"/>
          <w:sz w:val="28"/>
        </w:rPr>
      </w:pPr>
      <w:r>
        <w:rPr>
          <w:rFonts w:hint="eastAsia" w:ascii="仿宋" w:hAnsi="仿宋" w:eastAsia="仿宋"/>
          <w:sz w:val="28"/>
        </w:rPr>
        <w:t>★</w:t>
      </w:r>
      <w:r>
        <w:rPr>
          <w:rFonts w:hint="eastAsia" w:ascii="仿宋" w:hAnsi="仿宋" w:eastAsia="仿宋"/>
          <w:b/>
          <w:bCs/>
          <w:sz w:val="28"/>
        </w:rPr>
        <w:t xml:space="preserve">方式一： </w:t>
      </w:r>
      <w:r>
        <w:rPr>
          <w:rFonts w:hint="eastAsia" w:ascii="仿宋" w:hAnsi="仿宋" w:eastAsia="仿宋"/>
          <w:sz w:val="28"/>
        </w:rPr>
        <w:t>通过访问</w:t>
      </w:r>
      <w:r>
        <w:rPr>
          <w:rFonts w:hint="eastAsia" w:ascii="仿宋" w:hAnsi="仿宋" w:eastAsia="仿宋"/>
          <w:sz w:val="28"/>
          <w:lang w:eastAsia="zh-CN"/>
        </w:rPr>
        <w:t>“</w:t>
      </w:r>
      <w:r>
        <w:rPr>
          <w:rFonts w:hint="eastAsia" w:ascii="仿宋" w:hAnsi="仿宋" w:eastAsia="仿宋"/>
          <w:sz w:val="28"/>
        </w:rPr>
        <w:t>https://he.gsxt.gov.cn/index.html</w:t>
      </w:r>
      <w:r>
        <w:rPr>
          <w:rFonts w:hint="eastAsia" w:ascii="仿宋" w:hAnsi="仿宋" w:eastAsia="仿宋"/>
          <w:sz w:val="28"/>
          <w:lang w:eastAsia="zh-CN"/>
        </w:rPr>
        <w:t>”</w:t>
      </w:r>
      <w:r>
        <w:rPr>
          <w:rFonts w:hint="eastAsia" w:ascii="仿宋" w:hAnsi="仿宋" w:eastAsia="仿宋"/>
          <w:sz w:val="28"/>
        </w:rPr>
        <w:t xml:space="preserve"> 地址，进入国家企业信用信息公示系统（河北），选择“企业信息填报”模块，</w:t>
      </w:r>
      <w:r>
        <w:rPr>
          <w:rFonts w:hint="eastAsia" w:ascii="仿宋" w:hAnsi="仿宋" w:eastAsia="仿宋"/>
          <w:sz w:val="28"/>
          <w:lang w:eastAsia="zh-CN"/>
        </w:rPr>
        <w:t>逐项如实填报</w:t>
      </w:r>
      <w:r>
        <w:rPr>
          <w:rFonts w:hint="eastAsia" w:ascii="仿宋" w:hAnsi="仿宋" w:eastAsia="仿宋"/>
          <w:sz w:val="28"/>
        </w:rPr>
        <w:t>。</w:t>
      </w:r>
    </w:p>
    <w:p w14:paraId="12BD55C7">
      <w:pPr>
        <w:jc w:val="left"/>
      </w:pPr>
    </w:p>
    <w:p w14:paraId="762C34D3">
      <w:pPr>
        <w:jc w:val="left"/>
        <w:rPr>
          <w:rFonts w:hint="eastAsia" w:ascii="仿宋" w:hAnsi="仿宋" w:eastAsia="仿宋"/>
          <w:sz w:val="28"/>
        </w:rPr>
      </w:pPr>
      <w:r>
        <w:drawing>
          <wp:inline distT="0" distB="0" distL="114300" distR="114300">
            <wp:extent cx="5250180" cy="3011805"/>
            <wp:effectExtent l="0" t="0" r="7620" b="17145"/>
            <wp:docPr id="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pic:cNvPicPr>
                      <a:picLocks noChangeAspect="1"/>
                    </pic:cNvPicPr>
                  </pic:nvPicPr>
                  <pic:blipFill>
                    <a:blip r:embed="rId4"/>
                    <a:stretch>
                      <a:fillRect/>
                    </a:stretch>
                  </pic:blipFill>
                  <pic:spPr>
                    <a:xfrm>
                      <a:off x="0" y="0"/>
                      <a:ext cx="5250180" cy="3011805"/>
                    </a:xfrm>
                    <a:prstGeom prst="rect">
                      <a:avLst/>
                    </a:prstGeom>
                  </pic:spPr>
                </pic:pic>
              </a:graphicData>
            </a:graphic>
          </wp:inline>
        </w:drawing>
      </w:r>
    </w:p>
    <w:p w14:paraId="268FCF1E">
      <w:pPr>
        <w:jc w:val="left"/>
        <w:rPr>
          <w:rFonts w:ascii="仿宋" w:hAnsi="仿宋" w:eastAsia="仿宋"/>
          <w:b/>
          <w:bCs/>
          <w:sz w:val="28"/>
        </w:rPr>
      </w:pPr>
      <w:r>
        <w:rPr>
          <w:rFonts w:hint="eastAsia" w:ascii="仿宋" w:hAnsi="仿宋" w:eastAsia="仿宋"/>
          <w:sz w:val="28"/>
        </w:rPr>
        <w:t>★</w:t>
      </w:r>
      <w:r>
        <w:rPr>
          <w:rFonts w:hint="eastAsia" w:ascii="仿宋" w:hAnsi="仿宋" w:eastAsia="仿宋"/>
          <w:b/>
          <w:bCs/>
          <w:sz w:val="28"/>
        </w:rPr>
        <w:t>方式二：微信年报</w:t>
      </w:r>
    </w:p>
    <w:p w14:paraId="20C23182">
      <w:pPr>
        <w:ind w:firstLine="560" w:firstLineChars="200"/>
        <w:jc w:val="left"/>
        <w:rPr>
          <w:rFonts w:ascii="仿宋" w:hAnsi="仿宋" w:eastAsia="仿宋"/>
          <w:sz w:val="28"/>
        </w:rPr>
      </w:pPr>
      <w:r>
        <w:rPr>
          <w:rFonts w:hint="eastAsia" w:ascii="仿宋" w:hAnsi="仿宋" w:eastAsia="仿宋"/>
          <w:sz w:val="28"/>
        </w:rPr>
        <w:t>1、扫描下方二维码，进入“石家庄市场监管”微信公众号</w:t>
      </w:r>
    </w:p>
    <w:p w14:paraId="43FB7E8D">
      <w:pPr>
        <w:jc w:val="left"/>
        <w:rPr>
          <w:rFonts w:ascii="仿宋" w:hAnsi="仿宋" w:eastAsia="仿宋"/>
          <w:sz w:val="28"/>
        </w:rPr>
      </w:pPr>
      <w:r>
        <w:rPr>
          <w:rFonts w:hint="eastAsia" w:ascii="仿宋" w:hAnsi="仿宋" w:eastAsia="仿宋"/>
          <w:sz w:val="28"/>
        </w:rPr>
        <w:t xml:space="preserve">                 </w:t>
      </w:r>
      <w:r>
        <w:rPr>
          <w:rFonts w:hint="eastAsia" w:ascii="仿宋" w:hAnsi="仿宋" w:eastAsia="仿宋"/>
          <w:sz w:val="28"/>
        </w:rPr>
        <w:drawing>
          <wp:inline distT="0" distB="0" distL="114300" distR="114300">
            <wp:extent cx="1962150" cy="2105660"/>
            <wp:effectExtent l="0" t="0" r="0" b="8890"/>
            <wp:docPr id="4" name="图片 4" descr="e320aa7510fcc9b46cbc6ffb865ff1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e320aa7510fcc9b46cbc6ffb865ff1f"/>
                    <pic:cNvPicPr>
                      <a:picLocks noChangeAspect="1"/>
                    </pic:cNvPicPr>
                  </pic:nvPicPr>
                  <pic:blipFill>
                    <a:blip r:embed="rId5" cstate="print"/>
                    <a:stretch>
                      <a:fillRect/>
                    </a:stretch>
                  </pic:blipFill>
                  <pic:spPr>
                    <a:xfrm>
                      <a:off x="0" y="0"/>
                      <a:ext cx="1960461" cy="2104053"/>
                    </a:xfrm>
                    <a:prstGeom prst="rect">
                      <a:avLst/>
                    </a:prstGeom>
                  </pic:spPr>
                </pic:pic>
              </a:graphicData>
            </a:graphic>
          </wp:inline>
        </w:drawing>
      </w:r>
    </w:p>
    <w:p w14:paraId="1D148EB6">
      <w:pPr>
        <w:ind w:firstLine="560" w:firstLineChars="200"/>
        <w:jc w:val="left"/>
        <w:rPr>
          <w:rFonts w:ascii="仿宋" w:hAnsi="仿宋" w:eastAsia="仿宋"/>
          <w:sz w:val="28"/>
        </w:rPr>
      </w:pPr>
      <w:r>
        <w:rPr>
          <w:rFonts w:hint="eastAsia" w:ascii="仿宋" w:hAnsi="仿宋" w:eastAsia="仿宋"/>
          <w:sz w:val="28"/>
        </w:rPr>
        <w:t>2、点击“微服务”， 再点击“企业年报”，个体工商户直接点击“个体年报”，</w:t>
      </w:r>
      <w:r>
        <w:rPr>
          <w:rFonts w:hint="eastAsia" w:ascii="仿宋" w:hAnsi="仿宋" w:eastAsia="仿宋"/>
          <w:sz w:val="28"/>
          <w:lang w:eastAsia="zh-CN"/>
        </w:rPr>
        <w:t>报送并公示年度报告信息。</w:t>
      </w:r>
      <w:r>
        <w:rPr>
          <w:rFonts w:hint="eastAsia" w:ascii="仿宋" w:hAnsi="仿宋" w:eastAsia="仿宋"/>
          <w:sz w:val="28"/>
        </w:rPr>
        <w:t>如下图：</w:t>
      </w:r>
    </w:p>
    <w:p w14:paraId="4531C04D">
      <w:pPr>
        <w:ind w:left="560"/>
        <w:jc w:val="center"/>
        <w:rPr>
          <w:rFonts w:hint="eastAsia" w:ascii="仿宋" w:hAnsi="仿宋" w:eastAsia="仿宋"/>
          <w:sz w:val="28"/>
        </w:rPr>
      </w:pPr>
      <w:r>
        <w:rPr>
          <w:rFonts w:ascii="仿宋" w:hAnsi="仿宋" w:eastAsia="仿宋"/>
          <w:sz w:val="28"/>
        </w:rPr>
        <w:drawing>
          <wp:inline distT="0" distB="0" distL="0" distR="0">
            <wp:extent cx="2292350" cy="4512945"/>
            <wp:effectExtent l="0" t="0" r="12700" b="1905"/>
            <wp:docPr id="3" name="图片 2" descr="市监管局微信号截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市监管局微信号截屏.jpg"/>
                    <pic:cNvPicPr>
                      <a:picLocks noChangeAspect="1"/>
                    </pic:cNvPicPr>
                  </pic:nvPicPr>
                  <pic:blipFill>
                    <a:blip r:embed="rId6" cstate="print"/>
                    <a:stretch>
                      <a:fillRect/>
                    </a:stretch>
                  </pic:blipFill>
                  <pic:spPr>
                    <a:xfrm>
                      <a:off x="0" y="0"/>
                      <a:ext cx="2292350" cy="4512945"/>
                    </a:xfrm>
                    <a:prstGeom prst="rect">
                      <a:avLst/>
                    </a:prstGeom>
                  </pic:spPr>
                </pic:pic>
              </a:graphicData>
            </a:graphic>
          </wp:inline>
        </w:drawing>
      </w:r>
    </w:p>
    <w:p w14:paraId="18750A5B">
      <w:pPr>
        <w:pStyle w:val="2"/>
        <w:ind w:left="0" w:leftChars="0" w:firstLine="0" w:firstLineChars="0"/>
        <w:rPr>
          <w:rFonts w:hint="eastAsia"/>
        </w:rPr>
      </w:pPr>
    </w:p>
    <w:p w14:paraId="609B437C">
      <w:pPr>
        <w:jc w:val="left"/>
        <w:rPr>
          <w:rFonts w:hint="eastAsia" w:ascii="仿宋" w:hAnsi="仿宋" w:eastAsia="仿宋"/>
          <w:b/>
          <w:bCs/>
          <w:sz w:val="28"/>
        </w:rPr>
      </w:pPr>
      <w:r>
        <w:rPr>
          <w:rFonts w:hint="eastAsia" w:ascii="仿宋" w:hAnsi="仿宋" w:eastAsia="仿宋"/>
          <w:sz w:val="28"/>
        </w:rPr>
        <w:t>★</w:t>
      </w:r>
      <w:r>
        <w:rPr>
          <w:rFonts w:hint="eastAsia" w:ascii="仿宋" w:hAnsi="仿宋" w:eastAsia="仿宋"/>
          <w:b/>
          <w:bCs/>
          <w:sz w:val="28"/>
        </w:rPr>
        <w:t>方式三：“石监码”年报</w:t>
      </w:r>
    </w:p>
    <w:p w14:paraId="0B6DF634">
      <w:pPr>
        <w:ind w:firstLine="560" w:firstLineChars="200"/>
        <w:jc w:val="left"/>
        <w:rPr>
          <w:rFonts w:ascii="仿宋" w:hAnsi="仿宋" w:eastAsia="仿宋"/>
          <w:bCs/>
          <w:sz w:val="28"/>
        </w:rPr>
      </w:pPr>
      <w:r>
        <w:rPr>
          <w:rFonts w:hint="eastAsia" w:ascii="仿宋" w:hAnsi="仿宋" w:eastAsia="仿宋"/>
          <w:bCs/>
          <w:sz w:val="28"/>
        </w:rPr>
        <w:t>扫描“石家庄市场监管码”，</w:t>
      </w:r>
      <w:r>
        <w:rPr>
          <w:rFonts w:hint="eastAsia" w:ascii="仿宋" w:hAnsi="仿宋" w:eastAsia="仿宋"/>
          <w:bCs/>
          <w:sz w:val="28"/>
          <w:lang w:eastAsia="zh-CN"/>
        </w:rPr>
        <w:t>点击“一键年报”进入年报界面，</w:t>
      </w:r>
      <w:r>
        <w:rPr>
          <w:rFonts w:hint="eastAsia" w:ascii="仿宋" w:hAnsi="仿宋" w:eastAsia="仿宋"/>
          <w:bCs/>
          <w:sz w:val="28"/>
        </w:rPr>
        <w:t>石家庄市</w:t>
      </w:r>
      <w:r>
        <w:rPr>
          <w:rFonts w:hint="eastAsia" w:ascii="仿宋" w:hAnsi="仿宋" w:eastAsia="仿宋"/>
          <w:bCs/>
          <w:sz w:val="28"/>
          <w:lang w:eastAsia="zh-CN"/>
        </w:rPr>
        <w:t>经营主体就可</w:t>
      </w:r>
      <w:r>
        <w:rPr>
          <w:rFonts w:hint="eastAsia" w:ascii="仿宋" w:hAnsi="仿宋" w:eastAsia="仿宋"/>
          <w:bCs/>
          <w:sz w:val="28"/>
        </w:rPr>
        <w:t>进行年报报送，方便快捷。</w:t>
      </w:r>
    </w:p>
    <w:p w14:paraId="213CE383">
      <w:pPr>
        <w:pStyle w:val="2"/>
        <w:ind w:left="0" w:leftChars="0" w:firstLine="0" w:firstLineChars="0"/>
      </w:pPr>
    </w:p>
    <w:p w14:paraId="75038477">
      <w:pPr>
        <w:pStyle w:val="6"/>
        <w:numPr>
          <w:ilvl w:val="0"/>
          <w:numId w:val="1"/>
        </w:numPr>
        <w:ind w:firstLineChars="0"/>
        <w:jc w:val="left"/>
        <w:rPr>
          <w:rFonts w:ascii="仿宋" w:hAnsi="仿宋" w:eastAsia="仿宋"/>
          <w:b/>
          <w:sz w:val="32"/>
        </w:rPr>
      </w:pPr>
      <w:r>
        <w:rPr>
          <w:rFonts w:hint="eastAsia" w:ascii="仿宋" w:hAnsi="仿宋" w:eastAsia="仿宋"/>
          <w:b/>
          <w:sz w:val="32"/>
        </w:rPr>
        <w:t>年报有何要求？</w:t>
      </w:r>
    </w:p>
    <w:p w14:paraId="1B022975">
      <w:pPr>
        <w:ind w:firstLine="560" w:firstLineChars="200"/>
        <w:jc w:val="left"/>
        <w:rPr>
          <w:rFonts w:ascii="仿宋" w:hAnsi="仿宋" w:eastAsia="仿宋"/>
          <w:sz w:val="28"/>
        </w:rPr>
      </w:pPr>
      <w:r>
        <w:rPr>
          <w:rFonts w:hint="eastAsia" w:ascii="仿宋" w:hAnsi="仿宋" w:eastAsia="仿宋"/>
          <w:sz w:val="28"/>
        </w:rPr>
        <w:t>全市以上四类</w:t>
      </w:r>
      <w:r>
        <w:rPr>
          <w:rFonts w:hint="eastAsia" w:ascii="仿宋" w:hAnsi="仿宋" w:eastAsia="仿宋"/>
          <w:sz w:val="28"/>
          <w:lang w:eastAsia="zh-CN"/>
        </w:rPr>
        <w:t>经营</w:t>
      </w:r>
      <w:r>
        <w:rPr>
          <w:rFonts w:hint="eastAsia" w:ascii="仿宋" w:hAnsi="仿宋" w:eastAsia="仿宋"/>
          <w:sz w:val="28"/>
        </w:rPr>
        <w:t>主体登录国家企业信用信息公示系统（河北)上的“企业信息填报”模块，填写202</w:t>
      </w:r>
      <w:r>
        <w:rPr>
          <w:rFonts w:hint="eastAsia" w:ascii="仿宋" w:hAnsi="仿宋" w:eastAsia="仿宋"/>
          <w:sz w:val="28"/>
          <w:lang w:val="en-US" w:eastAsia="zh-CN"/>
        </w:rPr>
        <w:t>5</w:t>
      </w:r>
      <w:r>
        <w:rPr>
          <w:rFonts w:hint="eastAsia" w:ascii="仿宋" w:hAnsi="仿宋" w:eastAsia="仿宋"/>
          <w:sz w:val="28"/>
        </w:rPr>
        <w:t>年度报告，并向社会公示。</w:t>
      </w:r>
    </w:p>
    <w:p w14:paraId="40F8C702">
      <w:pPr>
        <w:ind w:firstLine="560" w:firstLineChars="200"/>
        <w:jc w:val="left"/>
        <w:rPr>
          <w:rFonts w:hint="eastAsia" w:ascii="仿宋" w:hAnsi="仿宋" w:eastAsia="仿宋"/>
          <w:sz w:val="28"/>
          <w:lang w:eastAsia="zh-CN"/>
        </w:rPr>
      </w:pPr>
      <w:r>
        <w:rPr>
          <w:rFonts w:hint="eastAsia" w:ascii="仿宋" w:hAnsi="仿宋" w:eastAsia="仿宋"/>
          <w:sz w:val="28"/>
          <w:lang w:val="en-US" w:eastAsia="zh-CN"/>
        </w:rPr>
        <w:t>1.</w:t>
      </w:r>
      <w:r>
        <w:rPr>
          <w:rFonts w:hint="eastAsia" w:ascii="仿宋" w:hAnsi="仿宋" w:eastAsia="仿宋"/>
          <w:sz w:val="28"/>
          <w:lang w:eastAsia="zh-CN"/>
        </w:rPr>
        <w:t>本报告书所有信息项均为必填项，如果该项内容确无信息，请填写“无”。</w:t>
      </w:r>
    </w:p>
    <w:p w14:paraId="47F9D724">
      <w:pPr>
        <w:ind w:firstLine="560" w:firstLineChars="200"/>
        <w:jc w:val="left"/>
        <w:rPr>
          <w:rFonts w:hint="eastAsia" w:ascii="仿宋" w:hAnsi="仿宋" w:eastAsia="仿宋"/>
          <w:sz w:val="28"/>
          <w:lang w:eastAsia="zh-CN"/>
        </w:rPr>
      </w:pPr>
      <w:r>
        <w:rPr>
          <w:rFonts w:hint="eastAsia" w:ascii="仿宋" w:hAnsi="仿宋" w:eastAsia="仿宋"/>
          <w:sz w:val="28"/>
          <w:lang w:val="en-US" w:eastAsia="zh-CN"/>
        </w:rPr>
        <w:t>2.</w:t>
      </w:r>
      <w:r>
        <w:rPr>
          <w:rFonts w:hint="eastAsia" w:ascii="仿宋" w:hAnsi="仿宋" w:eastAsia="仿宋"/>
          <w:sz w:val="28"/>
          <w:lang w:eastAsia="zh-CN"/>
        </w:rPr>
        <w:t>填报的通信地址、邮政编码、联系电话、电子邮箱、存续状态、网址、网站信息均为报送时的信息，其余信息为所报告年度12月31日的信息。</w:t>
      </w:r>
    </w:p>
    <w:p w14:paraId="5EBD2078">
      <w:pPr>
        <w:ind w:firstLine="560" w:firstLineChars="200"/>
        <w:jc w:val="left"/>
        <w:rPr>
          <w:rFonts w:hint="eastAsia" w:ascii="仿宋" w:hAnsi="仿宋" w:eastAsia="仿宋"/>
          <w:sz w:val="28"/>
          <w:lang w:eastAsia="zh-CN"/>
        </w:rPr>
      </w:pPr>
      <w:r>
        <w:rPr>
          <w:rFonts w:hint="eastAsia" w:ascii="仿宋" w:hAnsi="仿宋" w:eastAsia="仿宋"/>
          <w:sz w:val="28"/>
          <w:lang w:val="en-US" w:eastAsia="zh-CN"/>
        </w:rPr>
        <w:t>3.</w:t>
      </w:r>
      <w:r>
        <w:rPr>
          <w:rFonts w:hint="eastAsia" w:ascii="仿宋" w:hAnsi="仿宋" w:eastAsia="仿宋"/>
          <w:sz w:val="28"/>
          <w:lang w:eastAsia="zh-CN"/>
        </w:rPr>
        <w:t>年报报告书填报中涉及金额信息项的以万元为单位，可保留小数点后六位。</w:t>
      </w:r>
    </w:p>
    <w:p w14:paraId="64DDBC62">
      <w:pPr>
        <w:ind w:firstLine="560" w:firstLineChars="200"/>
        <w:jc w:val="left"/>
        <w:rPr>
          <w:rFonts w:hint="eastAsia" w:ascii="仿宋" w:hAnsi="仿宋" w:eastAsia="仿宋"/>
          <w:sz w:val="28"/>
          <w:lang w:eastAsia="zh-CN"/>
        </w:rPr>
      </w:pPr>
      <w:r>
        <w:rPr>
          <w:rFonts w:hint="eastAsia" w:ascii="仿宋" w:hAnsi="仿宋" w:eastAsia="仿宋"/>
          <w:sz w:val="28"/>
          <w:lang w:val="en-US" w:eastAsia="zh-CN"/>
        </w:rPr>
        <w:t>4.</w:t>
      </w:r>
      <w:r>
        <w:rPr>
          <w:rFonts w:hint="eastAsia" w:ascii="仿宋" w:hAnsi="仿宋" w:eastAsia="仿宋"/>
          <w:sz w:val="28"/>
          <w:lang w:eastAsia="zh-CN"/>
        </w:rPr>
        <w:t>股东（发起人）的姓名或者名称应当与报告年度在登记机关登记的姓名或者名称一致。</w:t>
      </w:r>
    </w:p>
    <w:p w14:paraId="77A6C1E8">
      <w:pPr>
        <w:ind w:firstLine="560" w:firstLineChars="200"/>
        <w:jc w:val="left"/>
        <w:rPr>
          <w:rFonts w:hint="eastAsia" w:ascii="仿宋" w:hAnsi="仿宋" w:eastAsia="仿宋"/>
          <w:sz w:val="28"/>
          <w:lang w:eastAsia="zh-CN"/>
        </w:rPr>
      </w:pPr>
      <w:r>
        <w:rPr>
          <w:rFonts w:hint="eastAsia" w:ascii="仿宋" w:hAnsi="仿宋" w:eastAsia="仿宋"/>
          <w:sz w:val="28"/>
          <w:lang w:val="en-US" w:eastAsia="zh-CN"/>
        </w:rPr>
        <w:t>5.</w:t>
      </w:r>
      <w:r>
        <w:rPr>
          <w:rFonts w:hint="eastAsia" w:ascii="仿宋" w:hAnsi="仿宋" w:eastAsia="仿宋"/>
          <w:sz w:val="28"/>
          <w:lang w:eastAsia="zh-CN"/>
        </w:rPr>
        <w:t>每一个股东（发起人）的出资信息只需填报一条，股东（发起人）认缴和实缴出资额为截至报告年度12月31日的累计数额，其中外商投资企业认缴和实缴出资额的币种与注册资本一致；认缴和实缴出资时间为截至报告年度12月31日最后一次认缴和实缴时间，出资方式可以多选。</w:t>
      </w:r>
      <w:bookmarkStart w:id="0" w:name="_GoBack"/>
      <w:bookmarkEnd w:id="0"/>
    </w:p>
    <w:p w14:paraId="3206C21D">
      <w:pPr>
        <w:ind w:firstLine="560" w:firstLineChars="200"/>
        <w:jc w:val="left"/>
        <w:rPr>
          <w:rFonts w:hint="eastAsia" w:ascii="仿宋" w:hAnsi="仿宋" w:eastAsia="仿宋"/>
          <w:sz w:val="28"/>
          <w:lang w:eastAsia="zh-CN"/>
        </w:rPr>
      </w:pPr>
      <w:r>
        <w:rPr>
          <w:rFonts w:hint="eastAsia" w:ascii="仿宋" w:hAnsi="仿宋" w:eastAsia="仿宋"/>
          <w:sz w:val="28"/>
          <w:lang w:val="en-US" w:eastAsia="zh-CN"/>
        </w:rPr>
        <w:t>6.</w:t>
      </w:r>
      <w:r>
        <w:rPr>
          <w:rFonts w:hint="eastAsia" w:ascii="仿宋" w:hAnsi="仿宋" w:eastAsia="仿宋"/>
          <w:sz w:val="28"/>
          <w:lang w:eastAsia="zh-CN"/>
        </w:rPr>
        <w:t>企业资产状况信息，应当是企业年度资产负债表和损益表（利润表）中的期末数；纳税总额为企业全年实缴各类税金的总和。</w:t>
      </w:r>
    </w:p>
    <w:p w14:paraId="358ADE91">
      <w:pPr>
        <w:ind w:firstLine="560" w:firstLineChars="200"/>
        <w:jc w:val="left"/>
        <w:rPr>
          <w:rFonts w:hint="eastAsia" w:ascii="仿宋" w:hAnsi="仿宋" w:eastAsia="仿宋"/>
          <w:sz w:val="28"/>
          <w:lang w:eastAsia="zh-CN"/>
        </w:rPr>
      </w:pPr>
      <w:r>
        <w:rPr>
          <w:rFonts w:hint="eastAsia" w:ascii="仿宋" w:hAnsi="仿宋" w:eastAsia="仿宋"/>
          <w:sz w:val="28"/>
          <w:lang w:val="en-US" w:eastAsia="zh-CN"/>
        </w:rPr>
        <w:t>7.</w:t>
      </w:r>
      <w:r>
        <w:rPr>
          <w:rFonts w:hint="eastAsia" w:ascii="仿宋" w:hAnsi="仿宋" w:eastAsia="仿宋"/>
          <w:sz w:val="28"/>
          <w:lang w:eastAsia="zh-CN"/>
        </w:rPr>
        <w:t>主营业务活动指企业实际从事的主要业务活动。</w:t>
      </w:r>
    </w:p>
    <w:p w14:paraId="3BBFC35A">
      <w:pPr>
        <w:ind w:firstLine="560" w:firstLineChars="200"/>
        <w:jc w:val="left"/>
        <w:rPr>
          <w:rFonts w:hint="eastAsia" w:ascii="仿宋" w:hAnsi="仿宋" w:eastAsia="仿宋"/>
          <w:sz w:val="28"/>
          <w:lang w:eastAsia="zh-CN"/>
        </w:rPr>
      </w:pPr>
      <w:r>
        <w:rPr>
          <w:rFonts w:hint="eastAsia" w:ascii="仿宋" w:hAnsi="仿宋" w:eastAsia="仿宋"/>
          <w:sz w:val="28"/>
          <w:lang w:val="en-US" w:eastAsia="zh-CN"/>
        </w:rPr>
        <w:t>8.</w:t>
      </w:r>
      <w:r>
        <w:rPr>
          <w:rFonts w:hint="eastAsia" w:ascii="仿宋" w:hAnsi="仿宋" w:eastAsia="仿宋"/>
          <w:sz w:val="28"/>
          <w:lang w:eastAsia="zh-CN"/>
        </w:rPr>
        <w:t>参保各险种人数指报告期末参加社会保险的职工人数（不含离退休人数）。单位缴费基数指报告期内单位缴纳社会保险费的工资总额，按缴费人员的应缴口径计算。本期实际缴费金额指报告期内单位实际缴纳的社会保险费，不包括补缴欠费和跨年度（或跨季度）的预缴金额。单位累计欠缴金额指截至报告期末单位累计欠缴各项社会保险费金额（本金）。</w:t>
      </w:r>
    </w:p>
    <w:p w14:paraId="66CA0274">
      <w:pPr>
        <w:ind w:firstLine="560" w:firstLineChars="200"/>
        <w:jc w:val="left"/>
        <w:rPr>
          <w:rFonts w:hint="eastAsia" w:ascii="仿宋" w:hAnsi="仿宋" w:eastAsia="仿宋"/>
          <w:sz w:val="28"/>
          <w:lang w:eastAsia="zh-CN"/>
        </w:rPr>
      </w:pPr>
      <w:r>
        <w:rPr>
          <w:rFonts w:hint="eastAsia" w:ascii="仿宋" w:hAnsi="仿宋" w:eastAsia="仿宋"/>
          <w:sz w:val="28"/>
          <w:lang w:val="en-US" w:eastAsia="zh-CN"/>
        </w:rPr>
        <w:t>9.</w:t>
      </w:r>
      <w:r>
        <w:rPr>
          <w:rFonts w:hint="eastAsia" w:ascii="仿宋" w:hAnsi="仿宋" w:eastAsia="仿宋"/>
          <w:sz w:val="28"/>
          <w:lang w:eastAsia="zh-CN"/>
        </w:rPr>
        <w:t>生产经营情况、对外担保、从业人数、社保缴费信息为非强制性公示的事项，可选择是否向社会公示。其中，对外担保信息可以选择某条具体信息是否向社会公示。</w:t>
      </w:r>
    </w:p>
    <w:p w14:paraId="3EA4CCA4">
      <w:pPr>
        <w:ind w:firstLine="560" w:firstLineChars="200"/>
        <w:jc w:val="left"/>
        <w:rPr>
          <w:rFonts w:hint="eastAsia" w:ascii="仿宋" w:hAnsi="仿宋" w:eastAsia="仿宋"/>
          <w:sz w:val="28"/>
          <w:lang w:eastAsia="zh-CN"/>
        </w:rPr>
      </w:pPr>
      <w:r>
        <w:rPr>
          <w:rFonts w:hint="eastAsia" w:ascii="仿宋" w:hAnsi="仿宋" w:eastAsia="仿宋"/>
          <w:sz w:val="28"/>
          <w:lang w:val="en-US" w:eastAsia="zh-CN"/>
        </w:rPr>
        <w:t>10.年度报告</w:t>
      </w:r>
      <w:r>
        <w:rPr>
          <w:rFonts w:hint="eastAsia" w:ascii="仿宋" w:hAnsi="仿宋" w:eastAsia="仿宋"/>
          <w:sz w:val="28"/>
          <w:lang w:eastAsia="zh-CN"/>
        </w:rPr>
        <w:t>中“高校毕业生人数”是指报告期内录用的毕业两年内的高校毕业生；“退役士兵人数、残疾人人数、失业人员”数是指报告期内录用的退役士兵、残疾人、失业人员。此类信息为不公示信息。</w:t>
      </w:r>
    </w:p>
    <w:p w14:paraId="7C2DA2B9">
      <w:pPr>
        <w:ind w:firstLine="560" w:firstLineChars="200"/>
        <w:jc w:val="left"/>
        <w:rPr>
          <w:rFonts w:hint="eastAsia" w:ascii="仿宋" w:hAnsi="仿宋" w:eastAsia="仿宋"/>
          <w:sz w:val="28"/>
          <w:lang w:eastAsia="zh-CN"/>
        </w:rPr>
      </w:pPr>
      <w:r>
        <w:rPr>
          <w:rFonts w:hint="eastAsia" w:ascii="仿宋" w:hAnsi="仿宋" w:eastAsia="仿宋"/>
          <w:sz w:val="28"/>
          <w:lang w:val="en-US" w:eastAsia="zh-CN"/>
        </w:rPr>
        <w:t>11.</w:t>
      </w:r>
      <w:r>
        <w:rPr>
          <w:rFonts w:hint="eastAsia" w:ascii="仿宋" w:hAnsi="仿宋" w:eastAsia="仿宋"/>
          <w:sz w:val="28"/>
          <w:lang w:eastAsia="zh-CN"/>
        </w:rPr>
        <w:t>党建信息为不公示信息，主要采集企业党组织的建立情况，但属于抽查范围。其中，中共党员（包括预备党员）人数，为截至年度报告年份12月31日的人数。</w:t>
      </w:r>
    </w:p>
    <w:p w14:paraId="30FE68AC">
      <w:pPr>
        <w:ind w:firstLine="560" w:firstLineChars="200"/>
        <w:jc w:val="left"/>
        <w:rPr>
          <w:rFonts w:hint="eastAsia" w:ascii="仿宋" w:hAnsi="仿宋" w:eastAsia="仿宋"/>
          <w:sz w:val="28"/>
          <w:lang w:eastAsia="zh-CN"/>
        </w:rPr>
      </w:pPr>
      <w:r>
        <w:rPr>
          <w:rFonts w:hint="eastAsia" w:ascii="仿宋" w:hAnsi="仿宋" w:eastAsia="仿宋"/>
          <w:sz w:val="28"/>
          <w:lang w:val="en-US" w:eastAsia="zh-CN"/>
        </w:rPr>
        <w:t>12.</w:t>
      </w:r>
      <w:r>
        <w:rPr>
          <w:rFonts w:hint="eastAsia" w:ascii="仿宋" w:hAnsi="仿宋" w:eastAsia="仿宋"/>
          <w:sz w:val="28"/>
          <w:lang w:eastAsia="zh-CN"/>
        </w:rPr>
        <w:t>海关管理的企业需要按照以下规则填写：</w:t>
      </w:r>
      <w:r>
        <w:rPr>
          <w:rFonts w:hint="eastAsia" w:ascii="仿宋" w:hAnsi="仿宋" w:eastAsia="仿宋"/>
          <w:sz w:val="28"/>
          <w:lang w:eastAsia="zh-CN"/>
        </w:rPr>
        <w:br w:type="textWrapping"/>
      </w:r>
      <w:r>
        <w:rPr>
          <w:rFonts w:hint="eastAsia" w:ascii="仿宋" w:hAnsi="仿宋" w:eastAsia="仿宋"/>
          <w:sz w:val="28"/>
          <w:lang w:eastAsia="zh-CN"/>
        </w:rPr>
        <w:t>  （1）企业填报的“经营补充信息”和“自律信息”为所报告年度的信息，其余信息均为报送时的信息。</w:t>
      </w:r>
      <w:r>
        <w:rPr>
          <w:rFonts w:hint="eastAsia" w:ascii="仿宋" w:hAnsi="仿宋" w:eastAsia="仿宋"/>
          <w:sz w:val="28"/>
          <w:lang w:eastAsia="zh-CN"/>
        </w:rPr>
        <w:br w:type="textWrapping"/>
      </w:r>
      <w:r>
        <w:rPr>
          <w:rFonts w:hint="eastAsia" w:ascii="仿宋" w:hAnsi="仿宋" w:eastAsia="仿宋"/>
          <w:sz w:val="28"/>
          <w:lang w:eastAsia="zh-CN"/>
        </w:rPr>
        <w:t>  （2）企业英文名称：对外贸易经营者填《对外贸易经营者备案登记表》、《外商投资企业设立备案回执》上的“经营者英文名称”或“企业名称（英文）”、国际货运代理企业填《国际货运代理企业备案表》上的“企业英文名称”，其他企业或组织机构可以根据情况填写。</w:t>
      </w:r>
      <w:r>
        <w:rPr>
          <w:rFonts w:hint="eastAsia" w:ascii="仿宋" w:hAnsi="仿宋" w:eastAsia="仿宋"/>
          <w:sz w:val="28"/>
          <w:lang w:eastAsia="zh-CN"/>
        </w:rPr>
        <w:br w:type="textWrapping"/>
      </w:r>
      <w:r>
        <w:rPr>
          <w:rFonts w:hint="eastAsia" w:ascii="仿宋" w:hAnsi="仿宋" w:eastAsia="仿宋"/>
          <w:sz w:val="28"/>
          <w:lang w:eastAsia="zh-CN"/>
        </w:rPr>
        <w:t>  （3）企业英文地址：对外贸易经营者填《对外贸易经营者备案登记表》、《外商投资企业设立备案回执》上的“经营场所（英文）”、国际货运代理企业填《国际货运代理企业备案表》上的“经营场所（英文）”，其他企业或组织机构可以根据情况填写。</w:t>
      </w:r>
      <w:r>
        <w:rPr>
          <w:rFonts w:hint="eastAsia" w:ascii="仿宋" w:hAnsi="仿宋" w:eastAsia="仿宋"/>
          <w:sz w:val="28"/>
          <w:lang w:eastAsia="zh-CN"/>
        </w:rPr>
        <w:br w:type="textWrapping"/>
      </w:r>
      <w:r>
        <w:rPr>
          <w:rFonts w:hint="eastAsia" w:ascii="仿宋" w:hAnsi="仿宋" w:eastAsia="仿宋"/>
          <w:sz w:val="28"/>
          <w:lang w:eastAsia="zh-CN"/>
        </w:rPr>
        <w:t>  （4）跨境贸易电子商务企业类型：根据企业情况勾选“电子商务企业”“电子商务交易平台”“物流企业”“支付企业”“监管场所运营人”，可同时勾选多项；非跨境贸易电子商务企业不勾选。</w:t>
      </w:r>
      <w:r>
        <w:rPr>
          <w:rFonts w:hint="eastAsia" w:ascii="仿宋" w:hAnsi="仿宋" w:eastAsia="仿宋"/>
          <w:sz w:val="28"/>
          <w:lang w:eastAsia="zh-CN"/>
        </w:rPr>
        <w:br w:type="textWrapping"/>
      </w:r>
      <w:r>
        <w:rPr>
          <w:rFonts w:hint="eastAsia" w:ascii="仿宋" w:hAnsi="仿宋" w:eastAsia="仿宋"/>
          <w:sz w:val="28"/>
          <w:lang w:eastAsia="zh-CN"/>
        </w:rPr>
        <w:t>  （5）开户银行和开户账号：填写银行《开户许可证》上的基本存款账户“开户银行”和“账号”。</w:t>
      </w:r>
    </w:p>
    <w:p w14:paraId="44867C00">
      <w:pPr>
        <w:ind w:firstLine="560" w:firstLineChars="200"/>
        <w:rPr>
          <w:rFonts w:hint="eastAsia" w:ascii="仿宋" w:hAnsi="仿宋" w:eastAsia="仿宋"/>
          <w:sz w:val="28"/>
          <w:lang w:val="en-US" w:eastAsia="zh-CN"/>
        </w:rPr>
      </w:pPr>
      <w:r>
        <w:rPr>
          <w:rFonts w:hint="eastAsia" w:ascii="仿宋" w:hAnsi="仿宋" w:eastAsia="仿宋"/>
          <w:sz w:val="28"/>
          <w:lang w:val="en-US" w:eastAsia="zh-CN"/>
        </w:rPr>
        <w:t>13.在企业填报年报时自动关联出疫苗生产企业、特种设备生产企业许可、充装单位许可信息、工业产品生产许可证到企业年报中，由企业确认。</w:t>
      </w:r>
    </w:p>
    <w:p w14:paraId="35029239">
      <w:pPr>
        <w:ind w:firstLine="560" w:firstLineChars="200"/>
        <w:jc w:val="left"/>
        <w:rPr>
          <w:rFonts w:hint="eastAsia" w:ascii="仿宋" w:hAnsi="仿宋" w:eastAsia="仿宋"/>
          <w:sz w:val="28"/>
          <w:lang w:eastAsia="zh-CN"/>
        </w:rPr>
      </w:pPr>
      <w:r>
        <w:rPr>
          <w:rFonts w:hint="eastAsia" w:ascii="仿宋" w:hAnsi="仿宋" w:eastAsia="仿宋"/>
          <w:sz w:val="28"/>
          <w:lang w:val="en-US" w:eastAsia="zh-CN"/>
        </w:rPr>
        <w:t>14.</w:t>
      </w:r>
      <w:r>
        <w:rPr>
          <w:rFonts w:hint="eastAsia" w:ascii="仿宋" w:hAnsi="仿宋" w:eastAsia="仿宋"/>
          <w:sz w:val="28"/>
          <w:lang w:eastAsia="zh-CN"/>
        </w:rPr>
        <w:t>有条件的个体工商户可通过网上填报。不具备网上填报条件的，可以持营业执照到所在地市场监管部门领取《个体工商户年度报告表》，逐项如实填写后，提交给所在地市场监管部门。</w:t>
      </w:r>
    </w:p>
    <w:p w14:paraId="49F45DF6">
      <w:pPr>
        <w:pStyle w:val="2"/>
        <w:numPr>
          <w:ilvl w:val="0"/>
          <w:numId w:val="3"/>
        </w:numPr>
        <w:ind w:leftChars="0" w:firstLineChars="0"/>
        <w:rPr>
          <w:rFonts w:ascii="仿宋" w:hAnsi="仿宋" w:eastAsia="仿宋"/>
          <w:sz w:val="32"/>
          <w:szCs w:val="32"/>
        </w:rPr>
      </w:pPr>
      <w:r>
        <w:rPr>
          <w:rFonts w:hint="eastAsia" w:ascii="仿宋" w:hAnsi="仿宋" w:eastAsia="仿宋"/>
          <w:b/>
          <w:bCs/>
          <w:sz w:val="32"/>
          <w:szCs w:val="32"/>
        </w:rPr>
        <w:t>大型企业年报</w:t>
      </w:r>
    </w:p>
    <w:p w14:paraId="4583B1A9">
      <w:pPr>
        <w:ind w:firstLine="560" w:firstLineChars="200"/>
        <w:rPr>
          <w:rFonts w:hint="eastAsia" w:ascii="仿宋" w:hAnsi="仿宋" w:eastAsia="仿宋"/>
          <w:sz w:val="28"/>
          <w:szCs w:val="28"/>
        </w:rPr>
      </w:pPr>
      <w:r>
        <w:rPr>
          <w:rFonts w:hint="eastAsia" w:ascii="仿宋" w:hAnsi="仿宋" w:eastAsia="仿宋"/>
          <w:sz w:val="28"/>
          <w:szCs w:val="28"/>
        </w:rPr>
        <w:t>按照《保障中小企业款项支付条例》（国务院令第728号）规定，大型企业在报送年报时应将逾期尚未支付中小企业款项的合同数量、金额等信息通过国家企业信用信息公示系统填报公示。未按照规定公示或公示信息隐瞒真实情况、弄虚作假的，</w:t>
      </w:r>
      <w:r>
        <w:rPr>
          <w:rFonts w:hint="eastAsia" w:ascii="仿宋" w:hAnsi="仿宋" w:eastAsia="仿宋"/>
          <w:sz w:val="28"/>
          <w:szCs w:val="28"/>
          <w:lang w:eastAsia="zh-CN"/>
        </w:rPr>
        <w:t>由市场监督管理部门依法予以处理</w:t>
      </w:r>
      <w:r>
        <w:rPr>
          <w:rFonts w:hint="eastAsia" w:ascii="仿宋" w:hAnsi="仿宋" w:eastAsia="仿宋"/>
          <w:sz w:val="28"/>
          <w:szCs w:val="28"/>
        </w:rPr>
        <w:t>。</w:t>
      </w:r>
      <w:r>
        <w:rPr>
          <w:rFonts w:hint="eastAsia" w:ascii="仿宋" w:hAnsi="仿宋" w:eastAsia="仿宋"/>
          <w:sz w:val="28"/>
        </w:rPr>
        <w:t>如企业履行支付义务，</w:t>
      </w:r>
      <w:r>
        <w:rPr>
          <w:rFonts w:ascii="仿宋_GB2312" w:hAnsi="仿宋_GB2312" w:eastAsia="仿宋_GB2312"/>
          <w:sz w:val="28"/>
          <w:szCs w:val="28"/>
        </w:rPr>
        <w:t>6月30日后允许对逾期尚未支付中小企业款项信息进行修改</w:t>
      </w:r>
      <w:r>
        <w:rPr>
          <w:rFonts w:hint="eastAsia" w:ascii="仿宋_GB2312" w:hAnsi="仿宋_GB2312" w:eastAsia="仿宋_GB2312"/>
          <w:sz w:val="28"/>
          <w:szCs w:val="28"/>
        </w:rPr>
        <w:t>。</w:t>
      </w:r>
    </w:p>
    <w:p w14:paraId="519F0FED">
      <w:pPr>
        <w:pStyle w:val="2"/>
        <w:numPr>
          <w:ilvl w:val="0"/>
          <w:numId w:val="3"/>
        </w:numPr>
        <w:ind w:leftChars="0" w:firstLineChars="0"/>
        <w:rPr>
          <w:rFonts w:ascii="仿宋" w:hAnsi="仿宋" w:eastAsia="仿宋"/>
          <w:sz w:val="32"/>
          <w:szCs w:val="32"/>
        </w:rPr>
      </w:pPr>
      <w:r>
        <w:rPr>
          <w:rFonts w:hint="eastAsia" w:ascii="仿宋" w:hAnsi="仿宋" w:eastAsia="仿宋"/>
          <w:b/>
          <w:bCs/>
          <w:sz w:val="32"/>
          <w:szCs w:val="32"/>
        </w:rPr>
        <w:t>重点领域企业年报</w:t>
      </w:r>
    </w:p>
    <w:p w14:paraId="718708A8">
      <w:pPr>
        <w:pStyle w:val="2"/>
        <w:ind w:left="0" w:leftChars="0" w:firstLine="560" w:firstLineChars="200"/>
        <w:rPr>
          <w:rFonts w:hint="eastAsia" w:ascii="仿宋" w:hAnsi="仿宋" w:eastAsia="仿宋"/>
          <w:sz w:val="28"/>
          <w:szCs w:val="28"/>
        </w:rPr>
      </w:pPr>
      <w:r>
        <w:rPr>
          <w:rFonts w:hint="eastAsia" w:ascii="仿宋" w:hAnsi="仿宋" w:eastAsia="仿宋"/>
          <w:sz w:val="28"/>
          <w:szCs w:val="28"/>
          <w:lang w:val="en-US" w:eastAsia="zh-CN"/>
        </w:rPr>
        <w:t>1.</w:t>
      </w:r>
      <w:r>
        <w:rPr>
          <w:rFonts w:hint="eastAsia" w:ascii="仿宋" w:hAnsi="仿宋" w:eastAsia="仿宋"/>
          <w:sz w:val="28"/>
          <w:szCs w:val="28"/>
        </w:rPr>
        <w:t>与人民群众生产生活、生命财产安全密切相关的疫苗生产企业、特种设备生产企业报送年报时应及时报告相关许可证信息，确保应报尽报。</w:t>
      </w:r>
    </w:p>
    <w:p w14:paraId="0F1DCCCB">
      <w:pPr>
        <w:pStyle w:val="2"/>
        <w:ind w:left="0" w:leftChars="0" w:firstLine="560" w:firstLineChars="200"/>
        <w:rPr>
          <w:rFonts w:hint="eastAsia" w:ascii="仿宋" w:hAnsi="仿宋" w:eastAsia="仿宋"/>
          <w:sz w:val="28"/>
          <w:szCs w:val="28"/>
          <w:lang w:eastAsia="zh-CN"/>
        </w:rPr>
      </w:pPr>
      <w:r>
        <w:rPr>
          <w:rFonts w:hint="eastAsia" w:ascii="仿宋" w:hAnsi="仿宋" w:eastAsia="仿宋"/>
          <w:sz w:val="28"/>
          <w:szCs w:val="28"/>
          <w:lang w:val="en-US" w:eastAsia="zh-CN"/>
        </w:rPr>
        <w:t>2.</w:t>
      </w:r>
      <w:r>
        <w:rPr>
          <w:rFonts w:hint="eastAsia" w:ascii="仿宋" w:hAnsi="仿宋" w:eastAsia="仿宋"/>
          <w:sz w:val="28"/>
          <w:szCs w:val="28"/>
          <w:lang w:eastAsia="zh-CN"/>
        </w:rPr>
        <w:t>工业产品获证企业在填报市场监管年报同时一并完成工业产品获证企业报告事项的填报。</w:t>
      </w:r>
    </w:p>
    <w:p w14:paraId="2879B910">
      <w:pPr>
        <w:pStyle w:val="6"/>
        <w:numPr>
          <w:ilvl w:val="0"/>
          <w:numId w:val="1"/>
        </w:numPr>
        <w:ind w:firstLineChars="0"/>
        <w:jc w:val="left"/>
        <w:rPr>
          <w:rFonts w:ascii="仿宋" w:hAnsi="仿宋" w:eastAsia="仿宋"/>
          <w:b/>
          <w:sz w:val="32"/>
        </w:rPr>
      </w:pPr>
      <w:r>
        <w:rPr>
          <w:rFonts w:hint="eastAsia" w:ascii="仿宋" w:hAnsi="仿宋" w:eastAsia="仿宋"/>
          <w:b/>
          <w:sz w:val="32"/>
        </w:rPr>
        <w:t>不按时年报</w:t>
      </w:r>
      <w:r>
        <w:rPr>
          <w:rFonts w:hint="eastAsia" w:ascii="仿宋" w:hAnsi="仿宋" w:eastAsia="仿宋"/>
          <w:b/>
          <w:bCs/>
          <w:sz w:val="32"/>
        </w:rPr>
        <w:t>或年报信息不实</w:t>
      </w:r>
      <w:r>
        <w:rPr>
          <w:rFonts w:hint="eastAsia" w:ascii="仿宋" w:hAnsi="仿宋" w:eastAsia="仿宋"/>
          <w:b/>
          <w:sz w:val="32"/>
        </w:rPr>
        <w:t>有何后果？</w:t>
      </w:r>
    </w:p>
    <w:p w14:paraId="17FC6409">
      <w:pPr>
        <w:widowControl/>
        <w:spacing w:line="384" w:lineRule="atLeast"/>
        <w:ind w:firstLine="560" w:firstLineChars="200"/>
        <w:jc w:val="left"/>
        <w:textAlignment w:val="baseline"/>
        <w:rPr>
          <w:rFonts w:hint="eastAsia" w:ascii="仿宋" w:hAnsi="仿宋" w:eastAsia="仿宋" w:cs="宋体"/>
          <w:color w:val="auto"/>
          <w:kern w:val="0"/>
          <w:sz w:val="28"/>
          <w:szCs w:val="28"/>
          <w:lang w:val="en-US" w:eastAsia="zh-CN"/>
        </w:rPr>
      </w:pPr>
      <w:r>
        <w:rPr>
          <w:rFonts w:hint="eastAsia" w:ascii="仿宋" w:hAnsi="仿宋" w:eastAsia="仿宋" w:cs="宋体"/>
          <w:color w:val="auto"/>
          <w:kern w:val="0"/>
          <w:sz w:val="28"/>
          <w:szCs w:val="28"/>
          <w:lang w:val="en-US" w:eastAsia="zh-CN"/>
        </w:rPr>
        <w:t>1.</w:t>
      </w:r>
      <w:r>
        <w:rPr>
          <w:rFonts w:hint="eastAsia" w:ascii="仿宋" w:hAnsi="仿宋" w:eastAsia="仿宋" w:cs="宋体"/>
          <w:color w:val="auto"/>
          <w:kern w:val="0"/>
          <w:sz w:val="28"/>
          <w:szCs w:val="28"/>
        </w:rPr>
        <w:t>按照《企业信息公示暂行条例》《</w:t>
      </w:r>
      <w:r>
        <w:rPr>
          <w:rFonts w:hint="eastAsia" w:ascii="仿宋" w:hAnsi="仿宋" w:eastAsia="仿宋" w:cs="宋体"/>
          <w:color w:val="auto"/>
          <w:kern w:val="0"/>
          <w:sz w:val="28"/>
          <w:szCs w:val="28"/>
          <w:lang w:eastAsia="zh-CN"/>
        </w:rPr>
        <w:t>中华人民共和国</w:t>
      </w:r>
      <w:r>
        <w:rPr>
          <w:rFonts w:hint="eastAsia" w:ascii="仿宋" w:hAnsi="仿宋" w:eastAsia="仿宋" w:cs="宋体"/>
          <w:color w:val="auto"/>
          <w:kern w:val="0"/>
          <w:sz w:val="28"/>
          <w:szCs w:val="28"/>
        </w:rPr>
        <w:t>市场主体登记管理条例实施细则》</w:t>
      </w:r>
      <w:r>
        <w:rPr>
          <w:rFonts w:hint="eastAsia" w:ascii="仿宋" w:hAnsi="仿宋" w:eastAsia="仿宋" w:cs="宋体"/>
          <w:color w:val="auto"/>
          <w:kern w:val="0"/>
          <w:sz w:val="28"/>
          <w:szCs w:val="28"/>
          <w:lang w:eastAsia="zh-CN"/>
        </w:rPr>
        <w:t>《</w:t>
      </w:r>
      <w:r>
        <w:rPr>
          <w:rFonts w:hint="eastAsia" w:ascii="仿宋" w:hAnsi="仿宋" w:eastAsia="仿宋" w:cs="宋体"/>
          <w:color w:val="auto"/>
          <w:kern w:val="0"/>
          <w:sz w:val="28"/>
          <w:szCs w:val="28"/>
        </w:rPr>
        <w:t>个体工商户年度报告办法</w:t>
      </w:r>
      <w:r>
        <w:rPr>
          <w:rFonts w:hint="eastAsia" w:ascii="仿宋" w:hAnsi="仿宋" w:eastAsia="仿宋" w:cs="宋体"/>
          <w:color w:val="auto"/>
          <w:kern w:val="0"/>
          <w:sz w:val="28"/>
          <w:szCs w:val="28"/>
          <w:lang w:eastAsia="zh-CN"/>
        </w:rPr>
        <w:t>》《</w:t>
      </w:r>
      <w:r>
        <w:rPr>
          <w:rFonts w:hint="eastAsia" w:ascii="仿宋" w:hAnsi="仿宋" w:eastAsia="仿宋" w:cs="宋体"/>
          <w:color w:val="auto"/>
          <w:kern w:val="0"/>
          <w:sz w:val="28"/>
          <w:szCs w:val="28"/>
        </w:rPr>
        <w:t>农民专业合作社年度报告公示办法</w:t>
      </w:r>
      <w:r>
        <w:rPr>
          <w:rFonts w:hint="eastAsia" w:ascii="仿宋" w:hAnsi="仿宋" w:eastAsia="仿宋" w:cs="宋体"/>
          <w:color w:val="auto"/>
          <w:kern w:val="0"/>
          <w:sz w:val="28"/>
          <w:szCs w:val="28"/>
          <w:lang w:eastAsia="zh-CN"/>
        </w:rPr>
        <w:t>》</w:t>
      </w:r>
      <w:r>
        <w:rPr>
          <w:rFonts w:hint="eastAsia" w:ascii="仿宋" w:hAnsi="仿宋" w:eastAsia="仿宋" w:cs="宋体"/>
          <w:color w:val="auto"/>
          <w:kern w:val="0"/>
          <w:sz w:val="28"/>
          <w:szCs w:val="28"/>
        </w:rPr>
        <w:t>等法律法规要求，</w:t>
      </w:r>
      <w:r>
        <w:rPr>
          <w:rFonts w:hint="eastAsia" w:ascii="仿宋" w:hAnsi="仿宋" w:eastAsia="仿宋" w:cs="宋体"/>
          <w:color w:val="auto"/>
          <w:kern w:val="0"/>
          <w:sz w:val="28"/>
          <w:szCs w:val="28"/>
          <w:lang w:val="en-US" w:eastAsia="zh-CN"/>
        </w:rPr>
        <w:t>如未在规定期限内报送年度报告并公示有关信息的，将被依法列入经营异常名录，并可以给予相应行政处罚。外国企业常驻代表机构未在规定期限内提交年度报告的，市场监督管理部门依法责令限期改正，并给予相应行政处罚。</w:t>
      </w:r>
    </w:p>
    <w:p w14:paraId="2A6688DB">
      <w:pPr>
        <w:widowControl/>
        <w:spacing w:line="384" w:lineRule="atLeast"/>
        <w:ind w:firstLine="560" w:firstLineChars="200"/>
        <w:jc w:val="left"/>
        <w:textAlignment w:val="baseline"/>
        <w:rPr>
          <w:rFonts w:hint="eastAsia" w:ascii="仿宋" w:hAnsi="仿宋" w:eastAsia="仿宋" w:cs="宋体"/>
          <w:color w:val="auto"/>
          <w:kern w:val="0"/>
          <w:sz w:val="28"/>
          <w:szCs w:val="28"/>
          <w:lang w:val="en-US" w:eastAsia="zh-CN"/>
        </w:rPr>
      </w:pPr>
      <w:r>
        <w:rPr>
          <w:rFonts w:hint="eastAsia" w:ascii="仿宋" w:hAnsi="仿宋" w:eastAsia="仿宋" w:cs="宋体"/>
          <w:color w:val="auto"/>
          <w:kern w:val="0"/>
          <w:sz w:val="28"/>
          <w:szCs w:val="28"/>
          <w:lang w:val="en-US" w:eastAsia="zh-CN"/>
        </w:rPr>
        <w:t>2.企业因连续2年未按规定报送年度报告被列入经营异常名录未改正，且通过登记的住所或者经营场所无法取得联系的，由县级以上市场监督管理部门吊销营业执照。</w:t>
      </w:r>
    </w:p>
    <w:p w14:paraId="1DF9CF74">
      <w:pPr>
        <w:widowControl/>
        <w:spacing w:line="384" w:lineRule="atLeast"/>
        <w:ind w:firstLine="560" w:firstLineChars="200"/>
        <w:jc w:val="left"/>
        <w:textAlignment w:val="baseline"/>
        <w:rPr>
          <w:rFonts w:hint="eastAsia" w:ascii="仿宋" w:hAnsi="仿宋" w:eastAsia="仿宋" w:cs="宋体"/>
          <w:b w:val="0"/>
          <w:bCs w:val="0"/>
          <w:color w:val="auto"/>
          <w:kern w:val="0"/>
          <w:sz w:val="28"/>
          <w:szCs w:val="28"/>
          <w:lang w:val="en-US" w:eastAsia="zh-CN"/>
        </w:rPr>
      </w:pPr>
      <w:r>
        <w:rPr>
          <w:rFonts w:hint="eastAsia" w:ascii="仿宋" w:hAnsi="仿宋" w:eastAsia="仿宋" w:cs="宋体"/>
          <w:color w:val="auto"/>
          <w:kern w:val="0"/>
          <w:sz w:val="28"/>
          <w:szCs w:val="28"/>
          <w:lang w:val="en-US" w:eastAsia="zh-CN"/>
        </w:rPr>
        <w:t>3.</w:t>
      </w:r>
      <w:r>
        <w:rPr>
          <w:rFonts w:hint="eastAsia" w:ascii="仿宋" w:hAnsi="仿宋" w:eastAsia="仿宋" w:cs="宋体"/>
          <w:b w:val="0"/>
          <w:bCs w:val="0"/>
          <w:color w:val="auto"/>
          <w:kern w:val="0"/>
          <w:sz w:val="28"/>
          <w:szCs w:val="28"/>
          <w:lang w:val="en-US" w:eastAsia="zh-CN"/>
        </w:rPr>
        <w:t>企业公示信息隐瞒真实情况、弄虚作假的，法律、行政法规有规定的，依照其规定；没有规定的，由市场监督管理部门责令改正，处1万元以上5万元以下罚款；情节严重的，处5万元以上20万元以下罚款，列入市场监督管理严重违法失信名单，并可以吊销营业执照。被列入市场监督管理严重违法失信名单的企业的法定代表人、负责人，3年内不得担任其他企业的法定代表人、负责人。</w:t>
      </w:r>
    </w:p>
    <w:p w14:paraId="5ED80DF0">
      <w:pPr>
        <w:widowControl/>
        <w:spacing w:line="384" w:lineRule="atLeast"/>
        <w:ind w:firstLine="560" w:firstLineChars="200"/>
        <w:jc w:val="left"/>
        <w:textAlignment w:val="baseline"/>
        <w:rPr>
          <w:rFonts w:hint="eastAsia" w:ascii="仿宋" w:hAnsi="仿宋" w:eastAsia="仿宋" w:cs="宋体"/>
          <w:color w:val="auto"/>
          <w:kern w:val="0"/>
          <w:sz w:val="28"/>
          <w:szCs w:val="28"/>
          <w:lang w:val="en-US" w:eastAsia="zh-CN"/>
        </w:rPr>
      </w:pPr>
      <w:r>
        <w:rPr>
          <w:rFonts w:hint="eastAsia" w:ascii="仿宋" w:hAnsi="仿宋" w:eastAsia="仿宋" w:cs="宋体"/>
          <w:color w:val="auto"/>
          <w:kern w:val="0"/>
          <w:sz w:val="28"/>
          <w:szCs w:val="28"/>
          <w:lang w:val="en-US" w:eastAsia="zh-CN"/>
        </w:rPr>
        <w:t>4.被列入经营异常名录或者严重违法企业名单的企业，在办理政府采购、工程招投标、国有土地出让、授予荣誉称号等事项时受到限制或者禁入。</w:t>
      </w:r>
    </w:p>
    <w:p w14:paraId="1E781CFF">
      <w:pPr>
        <w:pStyle w:val="6"/>
        <w:numPr>
          <w:ilvl w:val="0"/>
          <w:numId w:val="1"/>
        </w:numPr>
        <w:ind w:firstLineChars="0"/>
        <w:jc w:val="left"/>
        <w:rPr>
          <w:rFonts w:ascii="仿宋" w:hAnsi="仿宋" w:eastAsia="仿宋"/>
          <w:b/>
          <w:sz w:val="32"/>
        </w:rPr>
      </w:pPr>
      <w:r>
        <w:rPr>
          <w:rFonts w:hint="eastAsia" w:ascii="仿宋" w:hAnsi="仿宋" w:eastAsia="仿宋"/>
          <w:b/>
          <w:sz w:val="32"/>
        </w:rPr>
        <w:t>年报注意事项？</w:t>
      </w:r>
    </w:p>
    <w:p w14:paraId="30C8CFE6">
      <w:pPr>
        <w:pStyle w:val="6"/>
        <w:ind w:firstLine="560"/>
        <w:jc w:val="left"/>
        <w:rPr>
          <w:rFonts w:hint="eastAsia" w:ascii="仿宋" w:hAnsi="仿宋" w:eastAsia="仿宋"/>
          <w:sz w:val="28"/>
          <w:highlight w:val="none"/>
        </w:rPr>
      </w:pPr>
      <w:r>
        <w:rPr>
          <w:rFonts w:hint="eastAsia" w:ascii="仿宋" w:hAnsi="仿宋" w:eastAsia="仿宋"/>
          <w:sz w:val="28"/>
          <w:highlight w:val="none"/>
        </w:rPr>
        <w:t>1</w:t>
      </w:r>
      <w:r>
        <w:rPr>
          <w:rFonts w:hint="eastAsia" w:ascii="仿宋" w:hAnsi="仿宋" w:eastAsia="仿宋"/>
          <w:sz w:val="28"/>
          <w:highlight w:val="none"/>
          <w:lang w:eastAsia="zh-CN"/>
        </w:rPr>
        <w:t>.</w:t>
      </w:r>
      <w:r>
        <w:rPr>
          <w:rFonts w:hint="eastAsia" w:ascii="仿宋" w:hAnsi="仿宋" w:eastAsia="仿宋"/>
          <w:sz w:val="28"/>
          <w:highlight w:val="none"/>
        </w:rPr>
        <w:t>6月30日之前，发现其年报内容不准确的，可再次进入该年度企业年报填报页面，点击右上角“修改年度报告”，对年报信息进行修改后再次提交。</w:t>
      </w:r>
      <w:r>
        <w:rPr>
          <w:rFonts w:hint="eastAsia" w:ascii="仿宋" w:hAnsi="仿宋" w:eastAsia="仿宋"/>
          <w:sz w:val="28"/>
          <w:highlight w:val="none"/>
          <w:lang w:eastAsia="zh-CN"/>
        </w:rPr>
        <w:t>更正前后的信息内容、更正时间同时公示。</w:t>
      </w:r>
    </w:p>
    <w:p w14:paraId="523BD26C">
      <w:pPr>
        <w:keepNext w:val="0"/>
        <w:keepLines w:val="0"/>
        <w:pageBreakBefore w:val="0"/>
        <w:widowControl w:val="0"/>
        <w:numPr>
          <w:ilvl w:val="0"/>
          <w:numId w:val="4"/>
        </w:numPr>
        <w:kinsoku/>
        <w:wordWrap/>
        <w:overflowPunct/>
        <w:topLinePunct w:val="0"/>
        <w:autoSpaceDE/>
        <w:autoSpaceDN/>
        <w:bidi w:val="0"/>
        <w:adjustRightInd w:val="0"/>
        <w:snapToGrid w:val="0"/>
        <w:spacing w:line="560" w:lineRule="exact"/>
        <w:ind w:right="0" w:rightChars="0" w:firstLine="560" w:firstLineChars="200"/>
        <w:textAlignment w:val="auto"/>
        <w:outlineLvl w:val="9"/>
        <w:rPr>
          <w:rFonts w:hint="eastAsia" w:ascii="仿宋" w:hAnsi="仿宋" w:eastAsia="仿宋"/>
          <w:sz w:val="28"/>
        </w:rPr>
      </w:pPr>
      <w:r>
        <w:rPr>
          <w:rFonts w:hint="eastAsia" w:ascii="仿宋" w:hAnsi="仿宋" w:eastAsia="仿宋" w:cstheme="minorBidi"/>
          <w:kern w:val="2"/>
          <w:sz w:val="28"/>
          <w:szCs w:val="22"/>
          <w:lang w:val="en-US" w:eastAsia="zh-CN" w:bidi="ar-SA"/>
        </w:rPr>
        <w:t>经营主体年度报告报送、补报及信用修复，市场监管部门均不收取任何费用。</w:t>
      </w:r>
      <w:r>
        <w:rPr>
          <w:rFonts w:hint="eastAsia" w:ascii="仿宋" w:hAnsi="仿宋" w:eastAsia="仿宋"/>
          <w:sz w:val="28"/>
        </w:rPr>
        <w:t>任何以市场监管部门名义要求提供个人银行卡号、银行卡密码的行为均为诈骗。请注意防范含有非法链接的诈骗短信，不要轻易泄露企业信息、个人信息、银行卡号信息，不要向陌生人转账或支付，谨防受骗。</w:t>
      </w:r>
    </w:p>
    <w:p w14:paraId="56CBD8D5">
      <w:pPr>
        <w:pStyle w:val="6"/>
        <w:numPr>
          <w:ilvl w:val="0"/>
          <w:numId w:val="1"/>
        </w:numPr>
        <w:ind w:firstLineChars="0"/>
        <w:jc w:val="left"/>
        <w:rPr>
          <w:rFonts w:ascii="仿宋" w:hAnsi="仿宋" w:eastAsia="仿宋"/>
          <w:sz w:val="28"/>
        </w:rPr>
      </w:pPr>
      <w:r>
        <w:rPr>
          <w:rFonts w:hint="eastAsia" w:ascii="仿宋" w:hAnsi="仿宋" w:eastAsia="仿宋"/>
          <w:b/>
          <w:bCs/>
          <w:sz w:val="32"/>
        </w:rPr>
        <w:t>多报合一</w:t>
      </w:r>
      <w:r>
        <w:rPr>
          <w:rFonts w:ascii="仿宋" w:hAnsi="仿宋" w:eastAsia="仿宋"/>
          <w:b/>
          <w:bCs/>
          <w:sz w:val="32"/>
        </w:rPr>
        <w:t>是什么</w:t>
      </w:r>
      <w:r>
        <w:rPr>
          <w:rFonts w:hint="eastAsia" w:ascii="仿宋" w:hAnsi="仿宋" w:eastAsia="仿宋"/>
          <w:b/>
          <w:bCs/>
          <w:sz w:val="32"/>
        </w:rPr>
        <w:t>？</w:t>
      </w:r>
    </w:p>
    <w:p w14:paraId="2536C189">
      <w:pPr>
        <w:numPr>
          <w:ilvl w:val="0"/>
          <w:numId w:val="0"/>
        </w:numPr>
        <w:ind w:firstLine="560" w:firstLineChars="200"/>
        <w:jc w:val="left"/>
      </w:pPr>
      <w:r>
        <w:rPr>
          <w:rFonts w:hint="eastAsia" w:ascii="仿宋" w:hAnsi="仿宋" w:eastAsia="仿宋"/>
          <w:sz w:val="28"/>
          <w:lang w:val="en-US" w:eastAsia="zh-CN"/>
        </w:rPr>
        <w:t>1.</w:t>
      </w:r>
      <w:r>
        <w:rPr>
          <w:rFonts w:hint="eastAsia" w:ascii="仿宋" w:hAnsi="仿宋" w:eastAsia="仿宋"/>
          <w:sz w:val="28"/>
          <w:lang w:eastAsia="zh-CN"/>
        </w:rPr>
        <w:t>继续</w:t>
      </w:r>
      <w:r>
        <w:rPr>
          <w:rFonts w:hint="eastAsia" w:ascii="仿宋" w:hAnsi="仿宋" w:eastAsia="仿宋"/>
          <w:sz w:val="28"/>
        </w:rPr>
        <w:t>实施与人力资源社会保障、商务、海关、统计、外汇部门开展“多报合一”的基础上，</w:t>
      </w:r>
      <w:r>
        <w:rPr>
          <w:rFonts w:hint="eastAsia" w:ascii="仿宋" w:hAnsi="仿宋" w:eastAsia="仿宋"/>
          <w:sz w:val="28"/>
          <w:lang w:eastAsia="zh-CN"/>
        </w:rPr>
        <w:t>继续</w:t>
      </w:r>
      <w:r>
        <w:rPr>
          <w:rFonts w:hint="eastAsia" w:ascii="仿宋" w:hAnsi="仿宋" w:eastAsia="仿宋"/>
          <w:sz w:val="28"/>
        </w:rPr>
        <w:t>实施市场监管部门企业年度报告信息和税务部门企业财务会计报表相关信息的“多报合一”，将企业年报中需要企业据实填报的“资产状况信息”（包括：资产总额、所有者权益合计、负债总额、营业总收入、主营业务收入、利润总额、净利润、纳税总额），自动导入国家企业信用信息公示系统（河北）相关企业年报的“企业资产状况信息”填报栏中，企业在填报企业年报时，应当对预先代入的“资产状况信息”进行核对、修改，并依法对最终填报信息的真实性、及时性负责。</w:t>
      </w:r>
    </w:p>
    <w:p w14:paraId="16FAFFF6">
      <w:pPr>
        <w:pStyle w:val="2"/>
        <w:ind w:left="0" w:leftChars="0" w:firstLine="560" w:firstLineChars="200"/>
        <w:rPr>
          <w:rFonts w:hint="eastAsia" w:ascii="仿宋" w:hAnsi="仿宋" w:eastAsia="仿宋"/>
          <w:sz w:val="28"/>
        </w:rPr>
      </w:pPr>
      <w:r>
        <w:rPr>
          <w:rFonts w:hint="eastAsia" w:ascii="仿宋" w:hAnsi="仿宋" w:eastAsia="仿宋"/>
          <w:sz w:val="28"/>
          <w:lang w:val="en-US" w:eastAsia="zh-CN"/>
        </w:rPr>
        <w:t>2.合并农业农村部门农民专业合作社与市场监管部门有关数据，将可分配盈余、按交易量返还成员总额、剩余盈余分配总额三项数据纳入年报“多报合一”一并填报。</w:t>
      </w:r>
    </w:p>
    <w:p w14:paraId="42C92A76">
      <w:pPr>
        <w:ind w:firstLine="560" w:firstLineChars="200"/>
        <w:jc w:val="left"/>
        <w:rPr>
          <w:rFonts w:hint="eastAsia"/>
        </w:rPr>
      </w:pPr>
      <w:r>
        <w:rPr>
          <w:rFonts w:hint="eastAsia" w:ascii="仿宋" w:hAnsi="仿宋" w:eastAsia="仿宋"/>
          <w:sz w:val="28"/>
        </w:rPr>
        <w:t>年度报告是每一位</w:t>
      </w:r>
      <w:r>
        <w:rPr>
          <w:rFonts w:hint="eastAsia" w:ascii="仿宋" w:hAnsi="仿宋" w:eastAsia="仿宋"/>
          <w:sz w:val="28"/>
          <w:lang w:eastAsia="zh-CN"/>
        </w:rPr>
        <w:t>经营</w:t>
      </w:r>
      <w:r>
        <w:rPr>
          <w:rFonts w:hint="eastAsia" w:ascii="仿宋" w:hAnsi="仿宋" w:eastAsia="仿宋"/>
          <w:sz w:val="28"/>
        </w:rPr>
        <w:t>主体的法定义务，为了保证您良好的信用，请及时年报。</w:t>
      </w:r>
    </w:p>
    <w:p w14:paraId="58F5183E">
      <w:pPr>
        <w:pStyle w:val="2"/>
        <w:rPr>
          <w:rFonts w:hint="eastAsia"/>
        </w:rPr>
      </w:pPr>
    </w:p>
    <w:p w14:paraId="6F6933C5">
      <w:pPr>
        <w:pStyle w:val="2"/>
        <w:rPr>
          <w:rFonts w:hint="eastAsia"/>
        </w:rPr>
      </w:pPr>
    </w:p>
    <w:p w14:paraId="4C77F800">
      <w:pPr>
        <w:pStyle w:val="2"/>
        <w:rPr>
          <w:rFonts w:hint="eastAsia"/>
        </w:rPr>
      </w:pPr>
    </w:p>
    <w:p w14:paraId="36F5A52F">
      <w:pPr>
        <w:pStyle w:val="2"/>
        <w:ind w:left="0" w:leftChars="0" w:firstLine="0" w:firstLineChars="0"/>
        <w:rPr>
          <w:rFonts w:hint="eastAsia"/>
        </w:rPr>
      </w:pPr>
    </w:p>
    <w:tbl>
      <w:tblPr>
        <w:tblStyle w:val="4"/>
        <w:tblW w:w="813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2818"/>
        <w:gridCol w:w="5313"/>
      </w:tblGrid>
      <w:tr w14:paraId="24C45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8131" w:type="dxa"/>
            <w:gridSpan w:val="2"/>
            <w:tcBorders>
              <w:top w:val="single" w:color="000000" w:sz="4" w:space="0"/>
              <w:left w:val="single" w:color="000000" w:sz="4" w:space="0"/>
              <w:bottom w:val="single" w:color="000000" w:sz="4" w:space="0"/>
              <w:right w:val="single" w:color="000000" w:sz="4" w:space="0"/>
            </w:tcBorders>
            <w:shd w:val="clear" w:color="auto" w:fill="00B0F0"/>
            <w:vAlign w:val="center"/>
          </w:tcPr>
          <w:p w14:paraId="54162E77">
            <w:pPr>
              <w:keepNext w:val="0"/>
              <w:keepLines w:val="0"/>
              <w:widowControl/>
              <w:suppressLineNumbers w:val="0"/>
              <w:jc w:val="center"/>
              <w:textAlignment w:val="center"/>
              <w:rPr>
                <w:rFonts w:ascii="方正小标宋简体" w:hAnsi="方正小标宋简体" w:eastAsia="方正小标宋简体" w:cs="方正小标宋简体"/>
                <w:b/>
                <w:i w:val="0"/>
                <w:color w:val="FFFFFF"/>
                <w:sz w:val="40"/>
                <w:szCs w:val="40"/>
                <w:u w:val="none"/>
              </w:rPr>
            </w:pPr>
            <w:r>
              <w:rPr>
                <w:rFonts w:hint="eastAsia" w:ascii="方正小标宋简体" w:hAnsi="方正小标宋简体" w:eastAsia="方正小标宋简体" w:cs="方正小标宋简体"/>
                <w:b/>
                <w:i w:val="0"/>
                <w:color w:val="FFFFFF"/>
                <w:kern w:val="0"/>
                <w:sz w:val="40"/>
                <w:szCs w:val="40"/>
                <w:u w:val="none"/>
                <w:lang w:val="en-US" w:eastAsia="zh-CN" w:bidi="ar"/>
              </w:rPr>
              <w:t>石家庄市市场监管、商务、海关、税务部门</w:t>
            </w:r>
            <w:r>
              <w:rPr>
                <w:rFonts w:hint="eastAsia" w:ascii="方正小标宋简体" w:hAnsi="方正小标宋简体" w:eastAsia="方正小标宋简体" w:cs="方正小标宋简体"/>
                <w:b/>
                <w:i w:val="0"/>
                <w:color w:val="FFFFFF"/>
                <w:kern w:val="0"/>
                <w:sz w:val="40"/>
                <w:szCs w:val="40"/>
                <w:u w:val="none"/>
                <w:lang w:val="en-US" w:eastAsia="zh-CN" w:bidi="ar"/>
              </w:rPr>
              <w:br w:type="textWrapping"/>
            </w:r>
            <w:r>
              <w:rPr>
                <w:rFonts w:hint="eastAsia" w:ascii="方正小标宋简体" w:hAnsi="方正小标宋简体" w:eastAsia="方正小标宋简体" w:cs="方正小标宋简体"/>
                <w:b/>
                <w:i w:val="0"/>
                <w:color w:val="FFFFFF"/>
                <w:kern w:val="0"/>
                <w:sz w:val="40"/>
                <w:szCs w:val="40"/>
                <w:u w:val="none"/>
                <w:lang w:val="en-US" w:eastAsia="zh-CN" w:bidi="ar"/>
              </w:rPr>
              <w:t>年报咨询电话一览表</w:t>
            </w:r>
          </w:p>
        </w:tc>
      </w:tr>
      <w:tr w14:paraId="24203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8131" w:type="dxa"/>
            <w:gridSpan w:val="2"/>
            <w:shd w:val="clear" w:color="auto" w:fill="FFFF00"/>
            <w:vAlign w:val="center"/>
          </w:tcPr>
          <w:p w14:paraId="61F300C1">
            <w:pPr>
              <w:keepNext w:val="0"/>
              <w:keepLines w:val="0"/>
              <w:pageBreakBefore w:val="0"/>
              <w:widowControl/>
              <w:suppressLineNumbers w:val="0"/>
              <w:kinsoku/>
              <w:wordWrap/>
              <w:overflowPunct/>
              <w:topLinePunct w:val="0"/>
              <w:autoSpaceDE/>
              <w:autoSpaceDN/>
              <w:bidi w:val="0"/>
              <w:adjustRightInd w:val="0"/>
              <w:snapToGrid w:val="0"/>
              <w:spacing w:line="240" w:lineRule="auto"/>
              <w:ind w:left="1400" w:leftChars="0" w:right="0" w:rightChars="0" w:hanging="1400" w:hangingChars="500"/>
              <w:jc w:val="left"/>
              <w:textAlignment w:val="center"/>
              <w:outlineLvl w:val="9"/>
              <w:rPr>
                <w:rFonts w:hint="eastAsia" w:ascii="方正小标宋简体" w:hAnsi="方正小标宋简体" w:eastAsia="方正小标宋简体" w:cs="方正小标宋简体"/>
                <w:i w:val="0"/>
                <w:color w:val="000000"/>
                <w:sz w:val="28"/>
                <w:szCs w:val="28"/>
                <w:u w:val="none"/>
              </w:rPr>
            </w:pPr>
            <w:r>
              <w:rPr>
                <w:rFonts w:hint="eastAsia" w:ascii="方正小标宋简体" w:hAnsi="方正小标宋简体" w:eastAsia="方正小标宋简体" w:cs="方正小标宋简体"/>
                <w:i w:val="0"/>
                <w:color w:val="000000"/>
                <w:kern w:val="0"/>
                <w:sz w:val="28"/>
                <w:szCs w:val="28"/>
                <w:u w:val="none"/>
                <w:lang w:val="en-US" w:eastAsia="zh-CN" w:bidi="ar"/>
              </w:rPr>
              <w:t>特别提示：各类经营主体拨打年报咨询电话时，请先核实营业执照      发放机关，并</w:t>
            </w:r>
            <w:r>
              <w:rPr>
                <w:rFonts w:hint="eastAsia" w:ascii="方正小标宋简体" w:hAnsi="方正小标宋简体" w:eastAsia="方正小标宋简体" w:cs="方正小标宋简体"/>
                <w:b/>
                <w:bCs/>
                <w:i w:val="0"/>
                <w:color w:val="000000"/>
                <w:kern w:val="0"/>
                <w:sz w:val="28"/>
                <w:szCs w:val="28"/>
                <w:u w:val="none"/>
                <w:lang w:val="en-US" w:eastAsia="zh-CN" w:bidi="ar"/>
              </w:rPr>
              <w:t>对应行政区划</w:t>
            </w:r>
            <w:r>
              <w:rPr>
                <w:rFonts w:hint="eastAsia" w:ascii="方正小标宋简体" w:hAnsi="方正小标宋简体" w:eastAsia="方正小标宋简体" w:cs="方正小标宋简体"/>
                <w:i w:val="0"/>
                <w:color w:val="000000"/>
                <w:kern w:val="0"/>
                <w:sz w:val="28"/>
                <w:szCs w:val="28"/>
                <w:u w:val="none"/>
                <w:lang w:val="en-US" w:eastAsia="zh-CN" w:bidi="ar"/>
              </w:rPr>
              <w:t>拨打相关部门咨询电话！</w:t>
            </w:r>
          </w:p>
        </w:tc>
      </w:tr>
      <w:tr w14:paraId="26DE2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F532C">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新华区市场监管局</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717EC">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0311—83661183</w:t>
            </w:r>
          </w:p>
        </w:tc>
      </w:tr>
      <w:tr w14:paraId="3EAF8A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DC14D">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桥西区市场监管局</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BF0AA">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0311—85980323</w:t>
            </w:r>
          </w:p>
        </w:tc>
      </w:tr>
      <w:tr w14:paraId="480D9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01ED7">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裕华区市场监管局</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837B8">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0311—86578271</w:t>
            </w:r>
          </w:p>
        </w:tc>
      </w:tr>
      <w:tr w14:paraId="2D972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24379">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长安区市场监管局</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3B4FB">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0311—85282908</w:t>
            </w:r>
          </w:p>
        </w:tc>
      </w:tr>
      <w:tr w14:paraId="25249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5375A">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高新区市场监管局</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0FA56">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0311—85385660</w:t>
            </w:r>
          </w:p>
        </w:tc>
      </w:tr>
      <w:tr w14:paraId="70AB2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6FD3F">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藁城区市场监管局</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7BE8E">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0311—68018162、 68018135</w:t>
            </w:r>
          </w:p>
        </w:tc>
      </w:tr>
      <w:tr w14:paraId="2116F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15E46">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晋州市市场监管局</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EE2B9">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0311—84337879</w:t>
            </w:r>
          </w:p>
        </w:tc>
      </w:tr>
      <w:tr w14:paraId="599BB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ACF6C">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新乐市市场监管局</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F80E1">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0311—88508804</w:t>
            </w:r>
          </w:p>
        </w:tc>
      </w:tr>
      <w:tr w14:paraId="746A0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E9A58">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鹿泉区市场监管局</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44B85">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0311—82012463</w:t>
            </w:r>
          </w:p>
        </w:tc>
      </w:tr>
      <w:tr w14:paraId="251DE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A6CF8">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井陉县市场监管局</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16908">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0311—82024391</w:t>
            </w:r>
          </w:p>
        </w:tc>
      </w:tr>
      <w:tr w14:paraId="5D25F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E49EF">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矿区市场监管局</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EAF15">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0311—82081986</w:t>
            </w:r>
          </w:p>
        </w:tc>
      </w:tr>
      <w:tr w14:paraId="7A554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F4D3B">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平山县市场监管局</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354CD">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0311—82936030</w:t>
            </w:r>
          </w:p>
        </w:tc>
      </w:tr>
      <w:tr w14:paraId="011022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FFBD2">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灵寿县市场监管局</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1E66E">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0311—82961769</w:t>
            </w:r>
          </w:p>
        </w:tc>
      </w:tr>
      <w:tr w14:paraId="61231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2776F">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行唐县市场监管局</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694AE">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0311—82982701</w:t>
            </w:r>
          </w:p>
        </w:tc>
      </w:tr>
      <w:tr w14:paraId="5B981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A77ED">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正定县市场监管局</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8EFE7">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0311—88020346</w:t>
            </w:r>
          </w:p>
        </w:tc>
      </w:tr>
      <w:tr w14:paraId="59643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50074">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无极县市场监管局</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60FCB">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0311—85585202</w:t>
            </w:r>
          </w:p>
        </w:tc>
      </w:tr>
      <w:tr w14:paraId="53B552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B1192">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深泽县市场监管局</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77F1B">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0311—83526105</w:t>
            </w:r>
          </w:p>
        </w:tc>
      </w:tr>
      <w:tr w14:paraId="73152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39EDC">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栾城区市场监管局</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A7B56">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0311—88031256</w:t>
            </w:r>
          </w:p>
        </w:tc>
      </w:tr>
      <w:tr w14:paraId="4F2A5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2AE42">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赵县市场监管局</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16790">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0311—84903315</w:t>
            </w:r>
          </w:p>
        </w:tc>
      </w:tr>
      <w:tr w14:paraId="4F9140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68644">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高邑县市场监管局</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33609">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0311—84036168</w:t>
            </w:r>
          </w:p>
        </w:tc>
      </w:tr>
      <w:tr w14:paraId="5E8CC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F36E1">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元氏县市场监管局</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3310A">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iCs w:val="0"/>
                <w:color w:val="0070C0"/>
                <w:kern w:val="0"/>
                <w:sz w:val="24"/>
                <w:szCs w:val="24"/>
                <w:u w:val="none"/>
                <w:lang w:val="en-US" w:eastAsia="zh-CN" w:bidi="ar"/>
              </w:rPr>
              <w:t>0311—84623823</w:t>
            </w:r>
          </w:p>
        </w:tc>
      </w:tr>
      <w:tr w14:paraId="647FA0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43C2D">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color w:val="0070C0"/>
                <w:kern w:val="0"/>
                <w:sz w:val="24"/>
                <w:szCs w:val="24"/>
                <w:u w:val="none"/>
                <w:lang w:val="en-US" w:eastAsia="zh-CN" w:bidi="ar"/>
              </w:rPr>
              <w:t>外资企业年报咨询电话</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1EAF1">
            <w:pPr>
              <w:keepNext w:val="0"/>
              <w:keepLines w:val="0"/>
              <w:widowControl/>
              <w:suppressLineNumbers w:val="0"/>
              <w:jc w:val="center"/>
              <w:textAlignment w:val="center"/>
              <w:rPr>
                <w:rFonts w:hint="eastAsia" w:ascii="宋体" w:hAnsi="宋体" w:eastAsia="宋体" w:cs="宋体"/>
                <w:i w:val="0"/>
                <w:color w:val="0070C0"/>
                <w:sz w:val="24"/>
                <w:szCs w:val="24"/>
                <w:u w:val="none"/>
              </w:rPr>
            </w:pPr>
            <w:r>
              <w:rPr>
                <w:rFonts w:hint="eastAsia" w:ascii="宋体" w:hAnsi="宋体" w:eastAsia="宋体" w:cs="宋体"/>
                <w:i w:val="0"/>
                <w:color w:val="0070C0"/>
                <w:kern w:val="0"/>
                <w:sz w:val="24"/>
                <w:szCs w:val="24"/>
                <w:u w:val="none"/>
                <w:lang w:val="en-US" w:eastAsia="zh-CN" w:bidi="ar"/>
              </w:rPr>
              <w:t>0311-67665900</w:t>
            </w:r>
          </w:p>
        </w:tc>
      </w:tr>
      <w:tr w14:paraId="1DA92D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18A33">
            <w:pPr>
              <w:keepNext w:val="0"/>
              <w:keepLines w:val="0"/>
              <w:widowControl/>
              <w:suppressLineNumbers w:val="0"/>
              <w:jc w:val="center"/>
              <w:textAlignment w:val="center"/>
              <w:rPr>
                <w:rFonts w:hint="eastAsia" w:ascii="宋体" w:hAnsi="宋体" w:eastAsia="宋体" w:cs="宋体"/>
                <w:i w:val="0"/>
                <w:iCs w:val="0"/>
                <w:color w:val="0070C0"/>
                <w:kern w:val="0"/>
                <w:sz w:val="24"/>
                <w:szCs w:val="24"/>
                <w:u w:val="none"/>
                <w:lang w:val="en-US" w:eastAsia="zh-CN" w:bidi="ar"/>
              </w:rPr>
            </w:pPr>
            <w:r>
              <w:rPr>
                <w:rFonts w:hint="eastAsia" w:ascii="宋体" w:hAnsi="宋体" w:eastAsia="宋体" w:cs="宋体"/>
                <w:i w:val="0"/>
                <w:iCs w:val="0"/>
                <w:color w:val="0070C0"/>
                <w:kern w:val="0"/>
                <w:sz w:val="24"/>
                <w:szCs w:val="24"/>
                <w:u w:val="none"/>
                <w:lang w:val="en-US" w:eastAsia="zh-CN" w:bidi="ar"/>
              </w:rPr>
              <w:t>石家庄市投资促进局</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72193">
            <w:pPr>
              <w:keepNext w:val="0"/>
              <w:keepLines w:val="0"/>
              <w:widowControl/>
              <w:suppressLineNumbers w:val="0"/>
              <w:jc w:val="center"/>
              <w:textAlignment w:val="center"/>
              <w:rPr>
                <w:rFonts w:hint="eastAsia" w:ascii="宋体" w:hAnsi="宋体" w:eastAsia="宋体" w:cs="宋体"/>
                <w:i w:val="0"/>
                <w:iCs w:val="0"/>
                <w:color w:val="0070C0"/>
                <w:kern w:val="0"/>
                <w:sz w:val="24"/>
                <w:szCs w:val="24"/>
                <w:u w:val="none"/>
                <w:lang w:val="en-US" w:eastAsia="zh-CN" w:bidi="ar"/>
              </w:rPr>
            </w:pPr>
            <w:r>
              <w:rPr>
                <w:rFonts w:hint="eastAsia" w:ascii="宋体" w:hAnsi="宋体" w:eastAsia="宋体" w:cs="宋体"/>
                <w:i w:val="0"/>
                <w:iCs w:val="0"/>
                <w:color w:val="0070C0"/>
                <w:kern w:val="0"/>
                <w:sz w:val="24"/>
                <w:szCs w:val="24"/>
                <w:u w:val="none"/>
                <w:lang w:val="en-US" w:eastAsia="zh-CN" w:bidi="ar"/>
              </w:rPr>
              <w:t xml:space="preserve">0311-86687543 </w:t>
            </w:r>
          </w:p>
        </w:tc>
      </w:tr>
      <w:tr w14:paraId="4D2DF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22"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19F2E">
            <w:pPr>
              <w:keepNext w:val="0"/>
              <w:keepLines w:val="0"/>
              <w:widowControl/>
              <w:suppressLineNumbers w:val="0"/>
              <w:jc w:val="center"/>
              <w:textAlignment w:val="center"/>
              <w:rPr>
                <w:rFonts w:hint="eastAsia" w:ascii="宋体" w:hAnsi="宋体" w:eastAsia="宋体" w:cs="宋体"/>
                <w:i w:val="0"/>
                <w:iCs w:val="0"/>
                <w:color w:val="0070C0"/>
                <w:kern w:val="0"/>
                <w:sz w:val="24"/>
                <w:szCs w:val="24"/>
                <w:u w:val="none"/>
                <w:lang w:val="en-US" w:eastAsia="zh-CN" w:bidi="ar"/>
              </w:rPr>
            </w:pPr>
            <w:r>
              <w:rPr>
                <w:rFonts w:hint="eastAsia" w:ascii="宋体" w:hAnsi="宋体" w:eastAsia="宋体" w:cs="宋体"/>
                <w:i w:val="0"/>
                <w:iCs w:val="0"/>
                <w:color w:val="0070C0"/>
                <w:kern w:val="0"/>
                <w:sz w:val="24"/>
                <w:szCs w:val="24"/>
                <w:u w:val="none"/>
                <w:lang w:val="en-US" w:eastAsia="zh-CN" w:bidi="ar"/>
              </w:rPr>
              <w:t>鹿泉海关</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69709">
            <w:pPr>
              <w:keepNext w:val="0"/>
              <w:keepLines w:val="0"/>
              <w:widowControl/>
              <w:suppressLineNumbers w:val="0"/>
              <w:jc w:val="center"/>
              <w:textAlignment w:val="center"/>
              <w:rPr>
                <w:rFonts w:hint="eastAsia" w:ascii="宋体" w:hAnsi="宋体" w:eastAsia="宋体" w:cs="宋体"/>
                <w:i w:val="0"/>
                <w:iCs w:val="0"/>
                <w:color w:val="0070C0"/>
                <w:kern w:val="0"/>
                <w:sz w:val="24"/>
                <w:szCs w:val="24"/>
                <w:u w:val="none"/>
                <w:lang w:val="en-US" w:eastAsia="zh-CN" w:bidi="ar"/>
              </w:rPr>
            </w:pPr>
            <w:r>
              <w:rPr>
                <w:rFonts w:hint="eastAsia" w:ascii="宋体" w:hAnsi="宋体" w:eastAsia="宋体" w:cs="宋体"/>
                <w:i w:val="0"/>
                <w:iCs w:val="0"/>
                <w:color w:val="0070C0"/>
                <w:kern w:val="0"/>
                <w:sz w:val="24"/>
                <w:szCs w:val="24"/>
                <w:u w:val="none"/>
                <w:lang w:val="en-US" w:eastAsia="zh-CN" w:bidi="ar"/>
              </w:rPr>
              <w:t>0311-86613190</w:t>
            </w:r>
          </w:p>
        </w:tc>
      </w:tr>
      <w:tr w14:paraId="6091D8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0ADBF">
            <w:pPr>
              <w:keepNext w:val="0"/>
              <w:keepLines w:val="0"/>
              <w:widowControl/>
              <w:suppressLineNumbers w:val="0"/>
              <w:jc w:val="center"/>
              <w:textAlignment w:val="center"/>
              <w:rPr>
                <w:rFonts w:hint="eastAsia" w:ascii="宋体" w:hAnsi="宋体" w:eastAsia="宋体" w:cs="宋体"/>
                <w:i w:val="0"/>
                <w:iCs w:val="0"/>
                <w:color w:val="0070C0"/>
                <w:kern w:val="0"/>
                <w:sz w:val="24"/>
                <w:szCs w:val="24"/>
                <w:u w:val="none"/>
                <w:lang w:val="en-US" w:eastAsia="zh-CN" w:bidi="ar"/>
              </w:rPr>
            </w:pPr>
            <w:r>
              <w:rPr>
                <w:rFonts w:hint="eastAsia" w:ascii="宋体" w:hAnsi="宋体" w:eastAsia="宋体" w:cs="宋体"/>
                <w:i w:val="0"/>
                <w:iCs w:val="0"/>
                <w:color w:val="0070C0"/>
                <w:kern w:val="0"/>
                <w:sz w:val="24"/>
                <w:szCs w:val="24"/>
                <w:u w:val="none"/>
                <w:lang w:val="en-US" w:eastAsia="zh-CN" w:bidi="ar"/>
              </w:rPr>
              <w:t>正定海关</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BD9A1">
            <w:pPr>
              <w:keepNext w:val="0"/>
              <w:keepLines w:val="0"/>
              <w:widowControl/>
              <w:suppressLineNumbers w:val="0"/>
              <w:jc w:val="center"/>
              <w:textAlignment w:val="center"/>
              <w:rPr>
                <w:rFonts w:hint="eastAsia" w:ascii="宋体" w:hAnsi="宋体" w:eastAsia="宋体" w:cs="宋体"/>
                <w:i w:val="0"/>
                <w:iCs w:val="0"/>
                <w:color w:val="0070C0"/>
                <w:kern w:val="0"/>
                <w:sz w:val="24"/>
                <w:szCs w:val="24"/>
                <w:u w:val="none"/>
                <w:lang w:val="en-US" w:eastAsia="zh-CN" w:bidi="ar"/>
              </w:rPr>
            </w:pPr>
            <w:r>
              <w:rPr>
                <w:rFonts w:hint="eastAsia" w:ascii="宋体" w:hAnsi="宋体" w:eastAsia="宋体" w:cs="宋体"/>
                <w:i w:val="0"/>
                <w:iCs w:val="0"/>
                <w:color w:val="0070C0"/>
                <w:kern w:val="0"/>
                <w:sz w:val="24"/>
                <w:szCs w:val="24"/>
                <w:u w:val="none"/>
                <w:lang w:val="en-US" w:eastAsia="zh-CN" w:bidi="ar"/>
              </w:rPr>
              <w:t>0311-83706052</w:t>
            </w:r>
          </w:p>
        </w:tc>
      </w:tr>
      <w:tr w14:paraId="186EC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2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336D4">
            <w:pPr>
              <w:keepNext w:val="0"/>
              <w:keepLines w:val="0"/>
              <w:widowControl/>
              <w:suppressLineNumbers w:val="0"/>
              <w:jc w:val="center"/>
              <w:textAlignment w:val="center"/>
              <w:rPr>
                <w:rFonts w:hint="eastAsia" w:ascii="宋体" w:hAnsi="宋体" w:eastAsia="宋体" w:cs="宋体"/>
                <w:i w:val="0"/>
                <w:iCs w:val="0"/>
                <w:color w:val="0070C0"/>
                <w:kern w:val="0"/>
                <w:sz w:val="24"/>
                <w:szCs w:val="24"/>
                <w:u w:val="none"/>
                <w:lang w:val="en-US" w:eastAsia="zh-CN" w:bidi="ar"/>
              </w:rPr>
            </w:pPr>
            <w:r>
              <w:rPr>
                <w:rFonts w:hint="eastAsia" w:ascii="宋体" w:hAnsi="宋体" w:eastAsia="宋体" w:cs="宋体"/>
                <w:i w:val="0"/>
                <w:iCs w:val="0"/>
                <w:color w:val="0070C0"/>
                <w:kern w:val="0"/>
                <w:sz w:val="24"/>
                <w:szCs w:val="24"/>
                <w:u w:val="none"/>
                <w:lang w:val="en-US" w:eastAsia="zh-CN" w:bidi="ar"/>
              </w:rPr>
              <w:t>石家庄市税务局督导热线</w:t>
            </w:r>
          </w:p>
        </w:tc>
        <w:tc>
          <w:tcPr>
            <w:tcW w:w="5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5F626">
            <w:pPr>
              <w:keepNext w:val="0"/>
              <w:keepLines w:val="0"/>
              <w:widowControl/>
              <w:suppressLineNumbers w:val="0"/>
              <w:jc w:val="center"/>
              <w:textAlignment w:val="center"/>
              <w:rPr>
                <w:rFonts w:hint="eastAsia" w:ascii="宋体" w:hAnsi="宋体" w:eastAsia="宋体" w:cs="宋体"/>
                <w:i w:val="0"/>
                <w:iCs w:val="0"/>
                <w:color w:val="0070C0"/>
                <w:kern w:val="0"/>
                <w:sz w:val="24"/>
                <w:szCs w:val="24"/>
                <w:u w:val="none"/>
                <w:lang w:val="en-US" w:eastAsia="zh-CN" w:bidi="ar"/>
              </w:rPr>
            </w:pPr>
            <w:r>
              <w:rPr>
                <w:rFonts w:hint="eastAsia" w:ascii="宋体" w:hAnsi="宋体" w:eastAsia="宋体" w:cs="宋体"/>
                <w:i w:val="0"/>
                <w:iCs w:val="0"/>
                <w:color w:val="0070C0"/>
                <w:kern w:val="0"/>
                <w:sz w:val="24"/>
                <w:szCs w:val="24"/>
                <w:u w:val="none"/>
                <w:lang w:val="en-US" w:eastAsia="zh-CN" w:bidi="ar"/>
              </w:rPr>
              <w:t>0311-12366</w:t>
            </w:r>
          </w:p>
        </w:tc>
      </w:tr>
    </w:tbl>
    <w:p w14:paraId="75C8818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Nimbus Roman No9 L">
    <w:panose1 w:val="00000000000000000000"/>
    <w:charset w:val="00"/>
    <w:family w:val="auto"/>
    <w:pitch w:val="default"/>
    <w:sig w:usb0="00000000" w:usb1="00000000" w:usb2="00000000" w:usb3="00000000" w:csb0="00000000" w:csb1="00000000"/>
  </w:font>
  <w:font w:name="Calibri">
    <w:altName w:val="Nimbus Roman No9 L"/>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国标宋体-超大字符集扩">
    <w:panose1 w:val="000005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DejaVu Sans">
    <w:panose1 w:val="020B0603030804020204"/>
    <w:charset w:val="00"/>
    <w:family w:val="auto"/>
    <w:pitch w:val="default"/>
    <w:sig w:usb0="E7006EFF" w:usb1="D200FDFF" w:usb2="0A246029" w:usb3="0400200C" w:csb0="600001FF" w:csb1="DFFF0000"/>
  </w:font>
  <w:font w:name="文泉驿微米黑">
    <w:panose1 w:val="020B0606030804020204"/>
    <w:charset w:val="86"/>
    <w:family w:val="auto"/>
    <w:pitch w:val="default"/>
    <w:sig w:usb0="E10002EF" w:usb1="6BDFFCFB" w:usb2="00800036" w:usb3="00000000" w:csb0="603E019F" w:csb1="DFD70000"/>
  </w:font>
  <w:font w:name="方正黑体_GBK">
    <w:panose1 w:val="02000000000000000000"/>
    <w:charset w:val="86"/>
    <w:family w:val="auto"/>
    <w:pitch w:val="default"/>
    <w:sig w:usb0="00000001" w:usb1="08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D202808"/>
    <w:multiLevelType w:val="multilevel"/>
    <w:tmpl w:val="3D202808"/>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1">
    <w:nsid w:val="4D8954BC"/>
    <w:multiLevelType w:val="multilevel"/>
    <w:tmpl w:val="4D8954BC"/>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2">
    <w:nsid w:val="694DF741"/>
    <w:multiLevelType w:val="singleLevel"/>
    <w:tmpl w:val="694DF741"/>
    <w:lvl w:ilvl="0" w:tentative="0">
      <w:start w:val="2"/>
      <w:numFmt w:val="decimal"/>
      <w:suff w:val="nothing"/>
      <w:lvlText w:val="%1."/>
      <w:lvlJc w:val="left"/>
    </w:lvl>
  </w:abstractNum>
  <w:abstractNum w:abstractNumId="3">
    <w:nsid w:val="72336582"/>
    <w:multiLevelType w:val="multilevel"/>
    <w:tmpl w:val="72336582"/>
    <w:lvl w:ilvl="0" w:tentative="0">
      <w:start w:val="1"/>
      <w:numFmt w:val="decimalEnclosedCircle"/>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3D26E57"/>
    <w:rsid w:val="13D26E57"/>
    <w:rsid w:val="1AA61E15"/>
    <w:rsid w:val="3FF07E66"/>
    <w:rsid w:val="68693C3E"/>
    <w:rsid w:val="6B9B4A9C"/>
    <w:rsid w:val="743D21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正文首行缩进 21"/>
    <w:basedOn w:val="3"/>
    <w:qFormat/>
    <w:uiPriority w:val="0"/>
    <w:pPr>
      <w:ind w:firstLine="420" w:firstLineChars="200"/>
    </w:pPr>
  </w:style>
  <w:style w:type="paragraph" w:customStyle="1" w:styleId="3">
    <w:name w:val="正文文本缩进1"/>
    <w:basedOn w:val="1"/>
    <w:qFormat/>
    <w:uiPriority w:val="0"/>
    <w:pPr>
      <w:ind w:left="420" w:leftChars="200"/>
    </w:pPr>
  </w:style>
  <w:style w:type="paragraph" w:customStyle="1" w:styleId="6">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zxc</Company>
  <Pages>10</Pages>
  <Words>0</Words>
  <Characters>0</Characters>
  <Lines>0</Lines>
  <Paragraphs>0</Paragraphs>
  <TotalTime>0</TotalTime>
  <ScaleCrop>false</ScaleCrop>
  <LinksUpToDate>false</LinksUpToDate>
  <CharactersWithSpaces>0</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2025-12-26T10:18:00Z</dcterms:created>
  <dc:creator>sscc</dc:creator>
  <cp:lastModifiedBy>企业用户_394080163</cp:lastModifiedBy>
  <dcterms:modified xsi:type="dcterms:W3CDTF">2026-03-03T09:24:08Z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904FD3F83444B3E93838A669ACAA2BE3_42</vt:lpwstr>
  </property>
</Properties>
</file>