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560" w:lineRule="exact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</w:t>
      </w:r>
    </w:p>
    <w:p>
      <w:pPr>
        <w:spacing w:after="240" w:line="560" w:lineRule="exact"/>
        <w:jc w:val="center"/>
      </w:pPr>
      <w:r>
        <w:rPr>
          <w:rFonts w:ascii="Times New Roman" w:hAnsi="Times New Roman" w:eastAsia="黑体"/>
          <w:b w:val="0"/>
          <w:bCs w:val="0"/>
          <w:sz w:val="44"/>
          <w:szCs w:val="44"/>
        </w:rPr>
        <w:t>《石家庄市市场监管领域轻微违法行为不予行政处罚清单》（修订征求意见稿）起草说明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现将《石家庄市市场监管领域轻微违法行为不予行政处罚清单》（修订征求意见稿，以下简称《清单》）有关情况说明如下。</w:t>
      </w:r>
    </w:p>
    <w:p>
      <w:pPr>
        <w:spacing w:line="560" w:lineRule="exact"/>
        <w:ind w:firstLine="640"/>
      </w:pPr>
      <w:r>
        <w:rPr>
          <w:rFonts w:ascii="Times New Roman" w:hAnsi="Times New Roman" w:eastAsia="黑体"/>
          <w:sz w:val="32"/>
          <w:szCs w:val="32"/>
        </w:rPr>
        <w:t>一、修订的必要</w:t>
      </w: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性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2021年，我局印发《石家庄市市场监管领域轻微违法行为不予行政处罚指导意见》（石市监发〔2021〕58号，以下简称《指导意见》），对规范行政处罚自由裁量权、推进包容审慎监管、优化营商环境发挥了积极作用。随着相关上位法的立改废释和监管实践的发展，《指导意见》已不能完全适应当前执法需要，亟需清理修订。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一是部分事项的法律依据发生变化。《指导意见》印发以来，《中华人民共和国市场主体登记管理条例》《医疗器械监督管理条例》《化妆品监督管理条例》等法规陆续制定或者修订，《指导意见》部分事项引用的法律依据已经废止、相应条款已被替代、对应罚则已经删除，继续援引已缺乏法律依据。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二是部分事项已被省局免罚清单涵盖。省市场监督管理局印发的免罚清单已涵盖《指导意见》中的部分事项，市、省两级清单重复规定，不利于基层执法人员掌握和适用。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三是有必要补充新增免罚事项。结合执法实践和上级有关要求，2026年6月新增9项免罚事项，需要一并纳入，保持免罚事项的完整统一。</w:t>
      </w:r>
    </w:p>
    <w:p>
      <w:pPr>
        <w:spacing w:line="560" w:lineRule="exact"/>
        <w:ind w:firstLine="640"/>
      </w:pPr>
      <w:r>
        <w:rPr>
          <w:rFonts w:ascii="Times New Roman" w:hAnsi="Times New Roman" w:eastAsia="黑体"/>
          <w:sz w:val="32"/>
          <w:szCs w:val="32"/>
        </w:rPr>
        <w:t>二、起草依据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（一）《中华人民共和国行政处罚法》第三十三条、第三十四条；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（二）《优化营商环境条例》；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（三）《国务院关于进一步贯彻实施〈中华人民共和国行政处罚法〉的通知》（国发〔2021〕24号）；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（四）省市场监督管理局免罚清单；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（五）广告、食品、药品、医疗器械、化妆品、产品质量、计量、价格、登记注册、商标、直销、消费者权益保护等方面的法律、法规、规章。</w:t>
      </w:r>
    </w:p>
    <w:p>
      <w:pPr>
        <w:spacing w:line="560" w:lineRule="exact"/>
        <w:ind w:firstLine="640"/>
      </w:pPr>
      <w:r>
        <w:rPr>
          <w:rFonts w:ascii="Times New Roman" w:hAnsi="Times New Roman" w:eastAsia="黑体"/>
          <w:sz w:val="32"/>
          <w:szCs w:val="32"/>
        </w:rPr>
        <w:t>三、起草过程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根据规范性文件清理工作安排，政策法规科对《指导意见》逐项进行清理：一是对法律依据已废止、相应条款已被替代、对应罚则已删除的事项予以删去；二是对已被省局免罚清单涵盖的事项不再重复列入；三是对保留事项的法律依据逐条核对、予以更新；四是合并2026年6月新增的9项免罚事项。经梳理整合，形成《清单》（修订征求意见稿），现按程序征求局机关各相关科室和社会公众意见。</w:t>
      </w:r>
    </w:p>
    <w:p>
      <w:pPr>
        <w:spacing w:line="560" w:lineRule="exact"/>
        <w:ind w:firstLine="640"/>
      </w:pPr>
      <w:r>
        <w:rPr>
          <w:rFonts w:ascii="Times New Roman" w:hAnsi="Times New Roman" w:eastAsia="黑体"/>
          <w:sz w:val="32"/>
          <w:szCs w:val="32"/>
        </w:rPr>
        <w:t>四、主要内容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一）体例结构。《清单》采用表格形式，设置“序号”“违法行为”“不予处罚情形”“违法行为的定性依据”“处罚依据”五个栏目，逐项列明违法行为、适用条件及其法律依据，便于执法人员对照适用，便于行政相对人查询了解。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二）事项数量。修订后《清单》共51项，涉及广告监管、食品安全、药品监管、医疗器械、化妆品、产品质量、计量、价格监管、网络交易、登记注册、商标、直销、消费者权益保护等领域，其中广告监管类9项、食品安全类10项、药品监管类4项、医疗器械类3项、化妆品类3项、产品质量类4项、计量类1项、价格监管类4项、登记注册类4项、商标类2项、直销监管类2项、网络交易类2项、无照经营类1项、纤维质量类1项、消费者权益保护类1项。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（三）适用条件。《清单》每一项均以“同时符合下列条件”列举不予处罚的适用要件，主要包括初次违法、及时改正、没有造成危害后果、未发生安全事故等，所列条件须全部满足方可适用。</w:t>
      </w:r>
    </w:p>
    <w:p>
      <w:pPr>
        <w:spacing w:line="560" w:lineRule="exact"/>
        <w:ind w:firstLine="640"/>
      </w:pPr>
      <w:r>
        <w:rPr>
          <w:rFonts w:ascii="Times New Roman" w:hAnsi="Times New Roman" w:eastAsia="黑体"/>
          <w:sz w:val="32"/>
          <w:szCs w:val="32"/>
        </w:rPr>
        <w:t>五、需要说明的几个问题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（一）关于与省局免罚清单的衔接。已被省局免罚清单涵盖的事项不再列入本《清单》。本《清单》施行后，省局免罚清单继续有效，符合其规定的可直接适用，不因未列入本《清单》而影响适用。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（二）关于适用条件。《清单》所列条件为并列条件，须同时满足。不符合不予处罚条件的，应当依法予以处罚，不得擅自扩大适用范围，不得将免罚作为对违法行为的默许。</w:t>
      </w:r>
    </w:p>
    <w:p>
      <w:pPr>
        <w:spacing w:line="560" w:lineRule="exact"/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ascii="Times New Roman" w:hAnsi="Times New Roman" w:eastAsia="仿宋"/>
          <w:sz w:val="32"/>
          <w:szCs w:val="32"/>
        </w:rPr>
        <w:t>（三）关于“及时改正”的认定。一般以在责令改正期限届满前完成改正为准；违法行为轻微、能够当场改正并已当场改正的，可以当场认定。</w:t>
      </w:r>
      <w:r>
        <w:rPr>
          <w:rFonts w:hint="eastAsia"/>
          <w:sz w:val="32"/>
          <w:szCs w:val="32"/>
          <w:lang w:val="en-US" w:eastAsia="zh-CN"/>
        </w:rPr>
        <w:t>法律、法规、规章和上级主管部门另有规定的，从其规定。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四）关于不予处罚后的教育。依据《中华人民共和国行政处罚法》第三十三条第三款规定，对当事人不予行政处罚的，应当对当事人进行教育，可以通过提醒告诫、行政建议、劝导示范等方式进行，引导当事人自觉守法。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（五）关于动态管理。本《清单》将根据法律、法规、规章的立改废释和监管实际需要适时评估、动态调整。</w:t>
      </w:r>
    </w:p>
    <w:p>
      <w:pPr>
        <w:spacing w:line="560" w:lineRule="exact"/>
        <w:ind w:firstLine="640"/>
      </w:pPr>
      <w:r>
        <w:rPr>
          <w:rFonts w:ascii="Times New Roman" w:hAnsi="Times New Roman" w:eastAsia="仿宋"/>
          <w:sz w:val="32"/>
          <w:szCs w:val="32"/>
        </w:rPr>
        <w:t>（六）关于《指导意见》的处理。本《清单》施行后，《石家庄市市场监管领域轻微违法行为不予行政处罚指导意见》（石市监发〔2021〕58号）同时废止。</w:t>
      </w:r>
    </w:p>
    <w:sectPr>
      <w:footerReference r:id="rId3" w:type="default"/>
      <w:pgSz w:w="11906" w:h="16838"/>
      <w:pgMar w:top="2098" w:right="1474" w:bottom="1985" w:left="1588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B0D3F2D"/>
    <w:rsid w:val="14647B4F"/>
    <w:rsid w:val="322162CA"/>
    <w:rsid w:val="43F67691"/>
    <w:rsid w:val="525A0210"/>
    <w:rsid w:val="5414351A"/>
    <w:rsid w:val="635100C3"/>
    <w:rsid w:val="6C3F28B6"/>
    <w:rsid w:val="6F6133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sz w:val="32"/>
      <w:szCs w:val="32"/>
    </w:rPr>
  </w:style>
  <w:style w:type="paragraph" w:styleId="2">
    <w:name w:val="heading 1"/>
    <w:next w:val="1"/>
    <w:qFormat/>
    <w:uiPriority w:val="0"/>
    <w:rPr>
      <w:rFonts w:ascii="Times New Roman" w:hAnsi="Times New Roman" w:eastAsia="仿宋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Times New Roman" w:hAnsi="Times New Roman" w:eastAsia="仿宋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仿宋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仿宋" w:cstheme="minorBidi"/>
      <w:i/>
      <w:iCs/>
      <w:color w:val="2E74B5"/>
      <w:sz w:val="32"/>
      <w:szCs w:val="32"/>
    </w:rPr>
  </w:style>
  <w:style w:type="paragraph" w:styleId="6">
    <w:name w:val="heading 5"/>
    <w:next w:val="1"/>
    <w:qFormat/>
    <w:uiPriority w:val="0"/>
    <w:rPr>
      <w:rFonts w:ascii="Times New Roman" w:hAnsi="Times New Roman" w:eastAsia="仿宋" w:cstheme="minorBidi"/>
      <w:color w:val="2E74B5"/>
      <w:sz w:val="32"/>
      <w:szCs w:val="32"/>
    </w:rPr>
  </w:style>
  <w:style w:type="paragraph" w:styleId="7">
    <w:name w:val="heading 6"/>
    <w:next w:val="1"/>
    <w:qFormat/>
    <w:uiPriority w:val="0"/>
    <w:rPr>
      <w:rFonts w:ascii="Times New Roman" w:hAnsi="Times New Roman" w:eastAsia="仿宋" w:cstheme="minorBidi"/>
      <w:color w:val="1F4D78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0"/>
    <w:semiHidden/>
    <w:unhideWhenUsed/>
    <w:uiPriority w:val="99"/>
    <w:pPr>
      <w:spacing w:after="0" w:line="240" w:lineRule="auto"/>
    </w:pPr>
    <w:rPr>
      <w:rFonts w:ascii="Times New Roman" w:hAnsi="Times New Roman" w:eastAsia="仿宋" w:cstheme="minorBidi"/>
      <w:sz w:val="20"/>
      <w:szCs w:val="2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仿宋" w:cstheme="minorBidi"/>
      <w:sz w:val="20"/>
      <w:szCs w:val="20"/>
    </w:rPr>
  </w:style>
  <w:style w:type="paragraph" w:styleId="12">
    <w:name w:val="Title"/>
    <w:qFormat/>
    <w:uiPriority w:val="0"/>
    <w:rPr>
      <w:rFonts w:ascii="Times New Roman" w:hAnsi="Times New Roman" w:eastAsia="仿宋" w:cstheme="minorBidi"/>
      <w:sz w:val="56"/>
      <w:szCs w:val="56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Times New Roman" w:hAnsi="Times New Roman" w:eastAsia="仿宋" w:cstheme="minorBidi"/>
      <w:sz w:val="32"/>
      <w:szCs w:val="32"/>
    </w:rPr>
  </w:style>
  <w:style w:type="character" w:customStyle="1" w:styleId="19">
    <w:name w:val="Footnote Text Char"/>
    <w:link w:val="11"/>
    <w:semiHidden/>
    <w:unhideWhenUsed/>
    <w:qFormat/>
    <w:uiPriority w:val="99"/>
    <w:rPr>
      <w:sz w:val="20"/>
      <w:szCs w:val="20"/>
    </w:rPr>
  </w:style>
  <w:style w:type="character" w:customStyle="1" w:styleId="20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ScaleCrop>false</ScaleCrop>
  <LinksUpToDate>false</LinksUpToDate>
  <Application>WPS Office_11.8.2.12085_F1E327BC-269C-435d-A152-05C5408002CA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2026-09-03T00:59:00Z</dcterms:created>
  <dc:creator>Un-named</dc:creator>
  <cp:lastModifiedBy>cyn</cp:lastModifiedBy>
  <cp:lastPrinted>2026-09-03T02:53:08Z</cp:lastPrinted>
  <dcterms:modified xsi:type="dcterms:W3CDTF">2026-09-03T02:58:20Z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{"Label":"1","ContentProducer":"001191440300708461136T1WFUO","ProduceID":"8fc082aaca749f3b55b4efe7794155f6-gJyk","ReservedCode1":"{\"Type\":\" TC260PG\",\"Version\":1,\"Bindings\":[{\"Type\":\"soft\",\"AlgID\":\"sm3\",\"Value\":\"f806038362f6c295a60ecb28029632f3e72d9fa02e48920c672406d0da63fab1\"},{\"Type\":\"hash\",\"AlgID\":\"sm3\",\"Value\":\"4ef9a3fc707c4ac84f1bf92691183e51b902e405c1ab66dd9677b33450ce7843\"}],\"PubSD\":[{\"Type\":\"DS\",\"AlgID\":\"sm2\",\"TBSData\":{\"Type\":\"Binding\",\"BType\":\"hash\"},\"Signature\":\"304602210097e00f732769e698f03e6285b789274f2681ff4ba9de6ebfec723537f1fe35e702210099ad56c17933cff0a2ed7682eb08f409ebc78bae0723221e2724941df711ec7a\"},{\"Type\":\"PubKey\",\"AlgID\":\"sm2\",\"KeyValue\":\"0407f79b28a17a752b3aae4305c98b48978213832729a2571850b1310b2bc9fe8fee039ccf25ebfeac27502414d9fcef792d777183c98893d226171c2f7a3289a2\"}],\"Extension\":{\"Timestamp\":1788397174,\"KeyVersion\":\"v1-TxLeOmf7bqU223\"}}","ContentPropagator":"001191440300708461136T1WFUO","PropagateID":"8fc082aaca749f3b55b4efe7794155f6-gJyk","ReservedCode2":"{\"Type\":\" TC260PG\",\"Version\":1,\"Bindings\":[{\"Type\":\"soft\",\"AlgID\":\"sm3\",\"Value\":\"f806038362f6c295a60ecb28029632f3e72d9fa02e48920c672406d0da63fab1\"},{\"Type\":\"hash\",\"AlgID\":\"sm3\",\"Value\":\"4ef9a3fc707c4ac84f1bf92691183e51b902e405c1ab66dd9677b33450ce7843\"}],\"PubSD\":[{\"Type\":\"DS\",\"AlgID\":\"sm2\",\"TBSData\":{\"Type\":\"Binding\",\"BType\":\"hash\"},\"Signature\":\"304502204367dbcafae5fff16ea4695919b457df18bee10a062f7106cec5baa95cef24a9022100ab0901b857b6899f936c160683c922cbb70553f05291a62167b6a55c48cdeb35\"},{\"Type\":\"PubKey\",\"AlgID\":\"sm2\",\"KeyValue\":\"0407f79b28a17a752b3aae4305c98b48978213832729a2571850b1310b2bc9fe8fee039ccf25ebfeac27502414d9fcef792d777183c98893d226171c2f7a3289a2\"}],\"Extension\":{\"Timestamp\":1788397174,\"KeyVersion\":\"v1-TxLeOmf7bqU223\"}}"}</vt:lpwstr>
  </property>
  <property fmtid="{D5CDD505-2E9C-101B-9397-08002B2CF9AE}" pid="3" name="KSOProductBuildVer">
    <vt:lpwstr>2052-11.8.2.12085</vt:lpwstr>
  </property>
  <property fmtid="{D5CDD505-2E9C-101B-9397-08002B2CF9AE}" pid="4" name="ICV">
    <vt:lpwstr>2E29EF65BA834021BF8013FC4A4FE444</vt:lpwstr>
  </property>
</Properties>
</file>