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pacing w:line="600" w:lineRule="exact"/>
        <w:ind w:firstLine="880" w:firstLineChars="200"/>
        <w:textAlignment w:val="auto"/>
        <w:rPr>
          <w:rFonts w:hint="default" w:ascii="方正小标宋简体" w:hAnsi="方正小标宋简体" w:eastAsia="方正小标宋简体" w:cs="方正小标宋简体"/>
          <w:b w:val="0"/>
          <w:bCs w:val="0"/>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石家庄市</w:t>
      </w:r>
      <w:r>
        <w:rPr>
          <w:rFonts w:hint="eastAsia" w:ascii="方正小标宋简体" w:hAnsi="方正小标宋简体" w:eastAsia="方正小标宋简体" w:cs="方正小标宋简体"/>
          <w:b w:val="0"/>
          <w:bCs w:val="0"/>
          <w:sz w:val="44"/>
          <w:szCs w:val="44"/>
          <w:lang w:eastAsia="zh-CN"/>
        </w:rPr>
        <w:t>市场监管领域</w:t>
      </w:r>
      <w:r>
        <w:rPr>
          <w:rFonts w:hint="eastAsia" w:ascii="方正小标宋简体" w:hAnsi="方正小标宋简体" w:eastAsia="方正小标宋简体" w:cs="方正小标宋简体"/>
          <w:b w:val="0"/>
          <w:bCs w:val="0"/>
          <w:sz w:val="44"/>
          <w:szCs w:val="44"/>
        </w:rPr>
        <w:t>依法</w:t>
      </w:r>
      <w:r>
        <w:rPr>
          <w:rFonts w:hint="eastAsia" w:ascii="方正小标宋简体" w:hAnsi="方正小标宋简体" w:eastAsia="方正小标宋简体" w:cs="方正小标宋简体"/>
          <w:b w:val="0"/>
          <w:bCs w:val="0"/>
          <w:sz w:val="44"/>
          <w:szCs w:val="44"/>
          <w:lang w:eastAsia="zh-CN"/>
        </w:rPr>
        <w:t>规制</w:t>
      </w:r>
      <w:r>
        <w:rPr>
          <w:rFonts w:hint="eastAsia" w:ascii="方正小标宋简体" w:hAnsi="方正小标宋简体" w:eastAsia="方正小标宋简体" w:cs="方正小标宋简体"/>
          <w:b w:val="0"/>
          <w:bCs w:val="0"/>
          <w:sz w:val="44"/>
          <w:szCs w:val="44"/>
        </w:rPr>
        <w:t>牟利性</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投诉举</w:t>
      </w:r>
      <w:r>
        <w:rPr>
          <w:rFonts w:hint="eastAsia" w:ascii="方正小标宋简体" w:hAnsi="方正小标宋简体" w:eastAsia="方正小标宋简体" w:cs="方正小标宋简体"/>
          <w:b w:val="0"/>
          <w:bCs w:val="0"/>
          <w:sz w:val="44"/>
          <w:szCs w:val="44"/>
          <w:lang w:eastAsia="zh-CN"/>
        </w:rPr>
        <w:t>报优化营商环境的</w:t>
      </w:r>
      <w:r>
        <w:rPr>
          <w:rFonts w:hint="eastAsia" w:ascii="方正小标宋简体" w:hAnsi="方正小标宋简体" w:eastAsia="方正小标宋简体" w:cs="方正小标宋简体"/>
          <w:b w:val="0"/>
          <w:bCs w:val="0"/>
          <w:sz w:val="44"/>
          <w:szCs w:val="44"/>
          <w:lang w:val="en-US" w:eastAsia="zh-CN"/>
        </w:rPr>
        <w:t>指导</w:t>
      </w:r>
      <w:r>
        <w:rPr>
          <w:rFonts w:hint="eastAsia" w:ascii="方正小标宋简体" w:hAnsi="方正小标宋简体" w:eastAsia="方正小标宋简体" w:cs="方正小标宋简体"/>
          <w:b w:val="0"/>
          <w:bCs w:val="0"/>
          <w:sz w:val="44"/>
          <w:szCs w:val="44"/>
          <w:lang w:eastAsia="zh-CN"/>
        </w:rPr>
        <w:t>意见（试行）</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为</w:t>
      </w:r>
      <w:r>
        <w:rPr>
          <w:rFonts w:hint="eastAsia" w:ascii="仿宋_GB2312" w:hAnsi="仿宋_GB2312" w:eastAsia="仿宋_GB2312" w:cs="仿宋_GB2312"/>
          <w:color w:val="000000"/>
          <w:sz w:val="32"/>
          <w:szCs w:val="32"/>
          <w:lang w:val="en-US" w:eastAsia="zh-CN"/>
        </w:rPr>
        <w:t>规范市场监管领域投诉举报处置工作，</w:t>
      </w:r>
      <w:r>
        <w:rPr>
          <w:rFonts w:hint="eastAsia" w:ascii="仿宋_GB2312" w:hAnsi="仿宋_GB2312" w:eastAsia="仿宋_GB2312" w:cs="仿宋_GB2312"/>
          <w:color w:val="000000"/>
          <w:sz w:val="32"/>
          <w:szCs w:val="32"/>
          <w:lang w:eastAsia="zh-CN"/>
        </w:rPr>
        <w:t>依法规制牟利性投诉举报，</w:t>
      </w:r>
      <w:r>
        <w:rPr>
          <w:rFonts w:hint="eastAsia" w:ascii="仿宋_GB2312" w:hAnsi="仿宋_GB2312" w:eastAsia="仿宋_GB2312" w:cs="仿宋_GB2312"/>
          <w:color w:val="000000"/>
          <w:sz w:val="32"/>
          <w:szCs w:val="32"/>
          <w:lang w:val="en-US" w:eastAsia="zh-CN"/>
        </w:rPr>
        <w:t>持续优化消费环境，切实保障消费者和经营者合法权益，</w:t>
      </w:r>
      <w:r>
        <w:rPr>
          <w:rFonts w:hint="eastAsia" w:ascii="仿宋_GB2312" w:hAnsi="仿宋_GB2312" w:eastAsia="仿宋_GB2312" w:cs="仿宋_GB2312"/>
          <w:color w:val="000000"/>
          <w:sz w:val="32"/>
          <w:szCs w:val="32"/>
          <w:lang w:eastAsia="zh-CN"/>
        </w:rPr>
        <w:t>促进市场秩序公平有序和市场监管公正高效，依据《中华人民共和国消费者权益保护法》《优化营商环境条例》《市场监督管理投诉举报处理办法》《市场监督管理行政处罚程序规定》等法律法规规章及相关政策精神，结合我</w:t>
      </w:r>
      <w:r>
        <w:rPr>
          <w:rFonts w:hint="eastAsia" w:ascii="仿宋_GB2312" w:hAnsi="仿宋_GB2312" w:eastAsia="仿宋_GB2312" w:cs="仿宋_GB2312"/>
          <w:color w:val="000000"/>
          <w:sz w:val="32"/>
          <w:szCs w:val="32"/>
          <w:lang w:val="en-US" w:eastAsia="zh-CN"/>
        </w:rPr>
        <w:t>市</w:t>
      </w:r>
      <w:r>
        <w:rPr>
          <w:rFonts w:hint="eastAsia" w:ascii="仿宋_GB2312" w:hAnsi="仿宋_GB2312" w:eastAsia="仿宋_GB2312" w:cs="仿宋_GB2312"/>
          <w:color w:val="000000"/>
          <w:sz w:val="32"/>
          <w:szCs w:val="32"/>
          <w:lang w:eastAsia="zh-CN"/>
        </w:rPr>
        <w:t>实际，制定本</w:t>
      </w:r>
      <w:r>
        <w:rPr>
          <w:rFonts w:hint="eastAsia" w:ascii="仿宋_GB2312" w:hAnsi="仿宋_GB2312" w:eastAsia="仿宋_GB2312" w:cs="仿宋_GB2312"/>
          <w:color w:val="000000"/>
          <w:sz w:val="32"/>
          <w:szCs w:val="32"/>
          <w:lang w:val="en-US" w:eastAsia="zh-CN"/>
        </w:rPr>
        <w:t>指导</w:t>
      </w:r>
      <w:r>
        <w:rPr>
          <w:rFonts w:hint="eastAsia" w:ascii="仿宋_GB2312" w:hAnsi="仿宋_GB2312" w:eastAsia="仿宋_GB2312" w:cs="仿宋_GB2312"/>
          <w:color w:val="000000"/>
          <w:sz w:val="32"/>
          <w:szCs w:val="32"/>
          <w:lang w:eastAsia="zh-CN"/>
        </w:rPr>
        <w:t>意见。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000000"/>
          <w:sz w:val="32"/>
          <w:szCs w:val="32"/>
          <w:lang w:val="en-US" w:eastAsia="zh-CN"/>
        </w:rPr>
        <w:t>第二条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000000"/>
          <w:sz w:val="32"/>
          <w:szCs w:val="32"/>
          <w:lang w:eastAsia="zh-CN"/>
        </w:rPr>
        <w:t>依法规制牟利性投诉举报，</w:t>
      </w:r>
      <w:r>
        <w:rPr>
          <w:rFonts w:hint="eastAsia" w:ascii="仿宋_GB2312" w:hAnsi="仿宋_GB2312" w:eastAsia="仿宋_GB2312" w:cs="仿宋_GB2312"/>
          <w:color w:val="000000"/>
          <w:sz w:val="32"/>
          <w:szCs w:val="32"/>
          <w:lang w:val="en-US" w:eastAsia="zh-CN"/>
        </w:rPr>
        <w:t>坚持</w:t>
      </w:r>
      <w:r>
        <w:rPr>
          <w:rFonts w:hint="eastAsia" w:ascii="仿宋_GB2312" w:hAnsi="仿宋_GB2312" w:eastAsia="仿宋_GB2312" w:cs="仿宋_GB2312"/>
          <w:color w:val="auto"/>
          <w:sz w:val="32"/>
          <w:szCs w:val="32"/>
          <w:lang w:val="en-US" w:eastAsia="zh-CN"/>
        </w:rPr>
        <w:t>以习近平新时代中国特色社会主义思想为指导，突出法治思维，强化依法行政，对投诉举报实施分类管理，依法保护消费者和经营者合法权益，严厉打击利用投诉举报牟取不正当利益、扰乱市场经济秩序的行为，</w:t>
      </w:r>
      <w:r>
        <w:rPr>
          <w:rFonts w:hint="eastAsia" w:ascii="仿宋_GB2312" w:hAnsi="仿宋_GB2312" w:eastAsia="仿宋_GB2312" w:cs="仿宋_GB2312"/>
          <w:color w:val="auto"/>
          <w:sz w:val="32"/>
          <w:szCs w:val="32"/>
          <w:lang w:eastAsia="zh-CN"/>
        </w:rPr>
        <w:t>对于滥用投诉举报和行政救济权利、涉嫌违法犯罪的牟利性投诉举报行为，市场监督管理部门会同相关部门按照本意见进行处理。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auto"/>
          <w:sz w:val="32"/>
          <w:szCs w:val="32"/>
          <w:lang w:val="en-US" w:eastAsia="zh-CN"/>
        </w:rPr>
        <w:t>第三条</w:t>
      </w:r>
      <w:r>
        <w:rPr>
          <w:rFonts w:hint="eastAsia" w:ascii="仿宋_GB2312" w:hAnsi="仿宋_GB2312" w:eastAsia="仿宋_GB2312" w:cs="仿宋_GB2312"/>
          <w:color w:val="000000"/>
          <w:sz w:val="32"/>
          <w:szCs w:val="32"/>
          <w:lang w:val="en-US" w:eastAsia="zh-CN"/>
        </w:rPr>
        <w:t xml:space="preserve"> 本意见所称</w:t>
      </w:r>
      <w:r>
        <w:rPr>
          <w:rFonts w:hint="eastAsia" w:ascii="仿宋_GB2312" w:hAnsi="仿宋_GB2312" w:eastAsia="仿宋_GB2312" w:cs="仿宋_GB2312"/>
          <w:color w:val="000000"/>
          <w:sz w:val="32"/>
          <w:szCs w:val="32"/>
          <w:lang w:eastAsia="zh-CN"/>
        </w:rPr>
        <w:t>牟利性投诉举报，是指自然人、法人或其他组织以牟利为目的，超出合理生活消费需要购买、使用商品或者接受服务，违背诚信原则，以“打假”“维权”为名，通过重复投诉、牟利索赔、捏造事实、伪造证据、诱导违规等方式，滥用投诉、举报、复议、诉讼、信访等权利牟取不正当利益，侵害经营者合法权益、扰乱市场</w:t>
      </w:r>
      <w:r>
        <w:rPr>
          <w:rFonts w:hint="eastAsia" w:ascii="仿宋_GB2312" w:hAnsi="仿宋_GB2312" w:eastAsia="仿宋_GB2312" w:cs="仿宋_GB2312"/>
          <w:color w:val="000000"/>
          <w:sz w:val="32"/>
          <w:szCs w:val="32"/>
          <w:lang w:val="en-US" w:eastAsia="zh-CN"/>
        </w:rPr>
        <w:t>经济</w:t>
      </w:r>
      <w:r>
        <w:rPr>
          <w:rFonts w:hint="eastAsia" w:ascii="仿宋_GB2312" w:hAnsi="仿宋_GB2312" w:eastAsia="仿宋_GB2312" w:cs="仿宋_GB2312"/>
          <w:color w:val="000000"/>
          <w:sz w:val="32"/>
          <w:szCs w:val="32"/>
          <w:lang w:eastAsia="zh-CN"/>
        </w:rPr>
        <w:t>秩序、恶意浪费行政和司法资源、影响营商环境的行为。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val="en-US" w:eastAsia="zh-CN"/>
        </w:rPr>
        <w:t>第四条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处理原则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坚持法治引领、诚实守信。投诉举报行为应恪守诚实信用原则，严格遵守法律法规和规章及有关规定，不得滥用投诉举报权利、利用投诉举报牟取不正当利益，不得侵害经营主体合法权益，不得扰乱市场经济秩序和市场监督管理秩序。对滥用投诉举报权利的牟利性投诉举报行为，依法予以规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坚持精准研判、分类施策。审慎区分牟利性投诉举报行为与正常维权、经营主体轻微违法与严重违法。对合法诉求依法保障，对无理主张不予支持。坚持宽严相济、法理相融，严格规范公正文明执法。对严重侵害群众利益的违法行为严惩重处，对符合规定的不予处罚或可以不予处罚的行为包容审慎监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（三）坚持协同联动、系统治理。深化</w:t>
      </w:r>
      <w:r>
        <w:rPr>
          <w:rFonts w:hint="eastAsia" w:ascii="仿宋_GB2312" w:hAnsi="仿宋_GB2312" w:eastAsia="仿宋_GB2312" w:cs="仿宋_GB2312"/>
          <w:color w:val="auto"/>
          <w:sz w:val="32"/>
          <w:szCs w:val="32"/>
          <w:lang w:val="en-US" w:eastAsia="zh-CN"/>
        </w:rPr>
        <w:t>跨</w:t>
      </w:r>
      <w:r>
        <w:rPr>
          <w:rFonts w:hint="eastAsia" w:ascii="仿宋_GB2312" w:hAnsi="仿宋_GB2312" w:eastAsia="仿宋_GB2312" w:cs="仿宋_GB2312"/>
          <w:color w:val="auto"/>
          <w:sz w:val="32"/>
          <w:szCs w:val="32"/>
          <w:lang w:eastAsia="zh-CN"/>
        </w:rPr>
        <w:t>部门一体化联动共治，健全完善制度配套、行政执法、行刑衔接、司法保障全链条闭环体系，构建对牟利性投诉举报行为联合规制、综合治理的工作格局。持续优化处置流程、提升服务效能，精准从严打击牟利性投诉举报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val="en-US" w:eastAsia="zh-CN"/>
        </w:rPr>
        <w:t>第五条</w:t>
      </w:r>
      <w:r>
        <w:rPr>
          <w:rFonts w:hint="eastAsia" w:ascii="仿宋_GB2312" w:hAnsi="仿宋_GB2312" w:eastAsia="仿宋_GB2312" w:cs="仿宋_GB2312"/>
          <w:color w:val="auto"/>
          <w:sz w:val="32"/>
          <w:szCs w:val="32"/>
          <w:lang w:val="en-US" w:eastAsia="zh-CN"/>
        </w:rPr>
        <w:t xml:space="preserve">  认定牟利性投诉举报行为，由市场监督管理部门综合考量下列因素进行判断，必要时可以征询相关部门意见</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（一）购买、使用商品或者接受服务的数量明显超出合理生活消费需要；短期内向同一经营主体或者同行业经营主体反复购买相同或者相似的商品、接受相同或者相似服务的；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（二）明知或者应知商品或者服务存在质量、标签、超出经营范围等问题，仍然反复购买商品或者接受服务并以此索赔；获得赔偿后，再次购买相同或者相似商品、接受相同或者相似服务并索赔的；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lang w:val="en-US" w:eastAsia="zh-CN"/>
        </w:rPr>
        <w:t>一定时期内反复、集中投诉举报，或者反复投诉举报后，</w:t>
      </w:r>
      <w:r>
        <w:rPr>
          <w:rFonts w:hint="eastAsia" w:ascii="仿宋_GB2312" w:hAnsi="仿宋_GB2312" w:eastAsia="仿宋_GB2312" w:cs="仿宋_GB2312"/>
          <w:color w:val="auto"/>
          <w:sz w:val="32"/>
          <w:szCs w:val="32"/>
          <w:lang w:eastAsia="zh-CN"/>
        </w:rPr>
        <w:t>以申请政府信息公开的形式要求市场监管部门公开投诉举报处理资料、被投诉举报人信息、执法办案人员信息等内容，并以发起行政复议、行政诉讼、</w:t>
      </w:r>
      <w:r>
        <w:rPr>
          <w:rFonts w:hint="eastAsia" w:ascii="仿宋_GB2312" w:hAnsi="仿宋_GB2312" w:eastAsia="仿宋_GB2312" w:cs="仿宋_GB2312"/>
          <w:color w:val="auto"/>
          <w:sz w:val="32"/>
          <w:szCs w:val="32"/>
          <w:lang w:val="en-US" w:eastAsia="zh-CN"/>
        </w:rPr>
        <w:t>信访、检举</w:t>
      </w:r>
      <w:r>
        <w:rPr>
          <w:rFonts w:hint="eastAsia" w:ascii="仿宋_GB2312" w:hAnsi="仿宋_GB2312" w:eastAsia="仿宋_GB2312" w:cs="仿宋_GB2312"/>
          <w:color w:val="auto"/>
          <w:sz w:val="32"/>
          <w:szCs w:val="32"/>
          <w:lang w:eastAsia="zh-CN"/>
        </w:rPr>
        <w:t>等手段滋扰市场监管部门正常工作秩序的；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超出正常次数投诉举报，或者多人</w:t>
      </w:r>
      <w:r>
        <w:rPr>
          <w:rFonts w:hint="eastAsia" w:ascii="仿宋_GB2312" w:hAnsi="仿宋_GB2312" w:eastAsia="仿宋_GB2312" w:cs="仿宋_GB2312"/>
          <w:color w:val="auto"/>
          <w:sz w:val="32"/>
          <w:szCs w:val="32"/>
          <w:lang w:eastAsia="zh-CN"/>
        </w:rPr>
        <w:t>对同类事项</w:t>
      </w:r>
      <w:r>
        <w:rPr>
          <w:rFonts w:hint="eastAsia" w:ascii="仿宋_GB2312" w:hAnsi="仿宋_GB2312" w:eastAsia="仿宋_GB2312" w:cs="仿宋_GB2312"/>
          <w:color w:val="auto"/>
          <w:sz w:val="32"/>
          <w:szCs w:val="32"/>
          <w:lang w:val="en-US" w:eastAsia="zh-CN"/>
        </w:rPr>
        <w:t>进行大量</w:t>
      </w:r>
      <w:r>
        <w:rPr>
          <w:rFonts w:hint="eastAsia" w:ascii="仿宋_GB2312" w:hAnsi="仿宋_GB2312" w:eastAsia="仿宋_GB2312" w:cs="仿宋_GB2312"/>
          <w:color w:val="auto"/>
          <w:sz w:val="32"/>
          <w:szCs w:val="32"/>
          <w:lang w:eastAsia="zh-CN"/>
        </w:rPr>
        <w:t>投诉举报，且投诉举报内容、行政复议申请、行政诉讼请求等呈现格式化、模板化特点</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eastAsia="zh-CN"/>
        </w:rPr>
        <w:t>）投诉人有拒绝通过电话、短信、电子邮箱等渠道答复的异常行为；举报人存在明确提出可以将自身信息告知被举报的经营主体等明显不符合正常举报逻辑的行为；信件书写习惯和格式编辑不符合常理，将具体投诉举报诉求、投诉举报事项隐藏在冗长的信件中难以识别的；通过故意遗漏有关材料、虚构程序违法事实等方式，意图使市场监管、司法行政、人民法院等部门承担违法履职等不利后果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lang w:eastAsia="zh-CN"/>
        </w:rPr>
        <w:t>）提供虚假信息，虚构投诉举报人基本信息或者提供虚假材料的，包括但不限于冒用他人名义投诉举报，不配合核实验证身份信息；投诉不提供真实姓名、公民身份号码，提供的公民身份号码不实、通讯地址不实，或者提供的信息过于笼统；不同投诉举报人存在使用同一手机号码、同一联系地址、同一电子邮箱，提供相同的购物凭证、订单号，或者存在利用同一证据材料投诉举报不同经营主体等情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lang w:eastAsia="zh-CN"/>
        </w:rPr>
        <w:t>）未因购买、使用商品或者接受服务造成人身、财产损害，仅以证照问题、广告宣传、标识标签、说明书、商品条码等轻微违法行为为由发起索赔的；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lang w:eastAsia="zh-CN"/>
        </w:rPr>
        <w:t>）以投诉举报、媒体曝光、网络散布不实信息等方式威胁、要挟经营主体，索要财物或所谓“顾问费”“咨询费”“赞助费”“服务费”“封口费”等无合法依据费用的；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lang w:eastAsia="zh-CN"/>
        </w:rPr>
        <w:t>）通过夹带、掉包、造假、篡改、虚构或者捏造事实等方式发起索赔的；未发生真实消费关系，或者以虚构消费记录、网购秒拍秒退、空下单不收货、不退货仅退款、外卖异地下单等异常消费行为发起索赔的；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lang w:eastAsia="zh-CN"/>
        </w:rPr>
        <w:t>）反复投诉举报后，以申请政府信息公开的形式要求市场监管部门公开投诉举报处理资料、被投诉举报人信息、执法办案人员信息等内容，并以发起行政复议、行政诉讼等手段滋扰市场监管部门正常工作秩序的；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（十</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同一主体投诉举报数量明显异常，一年内向本市各级行政机关、12345政务服务便民热线提出或者撤回投诉举报10次以上，或者一年内通过全国12315平台提出或者撤回投诉举报30次以上，或者30日内在本县（市、区）级行政区域投诉举报5次以上、市级行政区域10次以上的（同一事项重复诉求的除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（十</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）同一投诉人</w:t>
      </w:r>
      <w:r>
        <w:rPr>
          <w:rFonts w:hint="eastAsia" w:ascii="仿宋_GB2312" w:hAnsi="仿宋_GB2312" w:eastAsia="仿宋_GB2312" w:cs="仿宋_GB2312"/>
          <w:color w:val="auto"/>
          <w:sz w:val="32"/>
          <w:szCs w:val="32"/>
        </w:rPr>
        <w:t>一次性购买2件以上商品、接受2次以上服务并分多次结账，分别向经营者索要赔偿的；</w:t>
      </w:r>
      <w:r>
        <w:rPr>
          <w:rFonts w:hint="eastAsia" w:ascii="仿宋_GB2312" w:hAnsi="仿宋_GB2312" w:eastAsia="仿宋_GB2312" w:cs="仿宋_GB2312"/>
          <w:color w:val="auto"/>
          <w:sz w:val="32"/>
          <w:szCs w:val="32"/>
          <w:lang w:eastAsia="zh-CN"/>
        </w:rPr>
        <w:t>或者</w:t>
      </w:r>
      <w:r>
        <w:rPr>
          <w:rFonts w:hint="eastAsia" w:ascii="仿宋_GB2312" w:hAnsi="仿宋_GB2312" w:eastAsia="仿宋_GB2312" w:cs="仿宋_GB2312"/>
          <w:color w:val="auto"/>
          <w:sz w:val="32"/>
          <w:szCs w:val="32"/>
        </w:rPr>
        <w:t>2名以上不同投诉人恶意串通，对同一经营者、同一类商品或者服务分别消费后，分别发起投诉举报的；</w:t>
      </w:r>
    </w:p>
    <w:p>
      <w:pPr>
        <w:keepNext w:val="0"/>
        <w:keepLines w:val="0"/>
        <w:pageBreakBefore w:val="0"/>
        <w:widowControl w:val="0"/>
        <w:numPr>
          <w:ilvl w:val="-1"/>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不符合正常消费行为，不以正常消费为目的进入经营场所，购买产品时录音、摄像，挑拣性状异常、临期、过期、标签瑕疵等产品，留存购物记录后投诉举报，要求赔偿的。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（十</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eastAsia="zh-CN"/>
        </w:rPr>
        <w:t>）其他符合以牟利为目的，而非为生活消费需要购买商品或者接受服务等特征的投诉举报行为。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法律法规规章或者上级部门文件对认定牟利性投诉举报另有规定的，从其规定。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第六条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具有下列情形之一的，应依法依规处理，一般不认定为牟利性投诉举报行为：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（一）经营者涉嫌食品、药品、医疗器械、化妆品等重点工业产品领域违法犯罪行为的；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（二）相关违法违规行为可能引发系统性市场风险、社会公共利益风险的；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（三）经营者内部知情人员依法实施举报的。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第七条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精准界定投诉与举报，严格以“利益指向”为核心判断依据，并结合市场监管领域产品特性予以细化，不可简单只以当事人文字表述为准。严格核验投诉人身份信息及投诉材料真实性，依法要求投诉人提供真实、有效、可核验的身份信息，有效消费凭证，相应的消费者权益争议事实依据，切实区分牟利性投诉举报行为与普通消费纠纷。对无法查实、不能提供或者拒不配合查实相关身份信息的，依据《市场监督管理投诉举报处理办法》第十六条第（五）项规定，依法不予受理；已受理的，依法终止调解。对符合牟利性投诉举报行为特征的，依据《市场监督管理投诉举报处理办法》第十六条规定依法不予受理；已受理的，依据第二十三条第（六）项规定，依法终止调解。对于无法查实身份信息的投诉举报人，做好台账记录留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第八条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对明知系假冒伪劣商品仍购买并索赔的，坚持投诉调解与举报查处相分离原则。对被认定为牟利性投诉举报行为事项，依法终止调解，不支持其通过行政调解途径提出的赔偿请求。但对投诉举报中反映的经营主体涉嫌违法行为，仍应依法、及时开展核查，依法依规查处。对无法律上的利害关系、批量购买、跨区域频繁维权牟利，或滥用投诉举报权利牟取不正当利益的，不予支持其索赔请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第九条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市场监管部门会同公安等部门，全面收集固定疑似牟利性投诉举报行为的购买记录、维权频次、沟通记录、索赔要求、资金流向及格式化的投诉举报书等证据，重点核查是否存在明知产品存在问题仍购买、故意制造权益受损后果、批量维权牟利等情形。对查实的牟利性投诉举报行为人，将其信息及时纳入牟利性投诉举报行为重点关注名单；涉嫌敲诈勒索等违法犯罪的，依法移送公安机关处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市场监管部门要依照《市场监督管理投诉举报处理办法》《市场监督管理行政处罚程序规定》等要求，对投诉、举报的线索，严格按照时间节点等有关规定予以核查、依法处理，及时履行告知义务，特别是对不予受理、终止调解的投诉，不具有处理权限、实名举报以及有关法律法规和规章及有关规定需要告知处理结果的举报，依法说明理由并告知解决途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第十一条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积极主动引导经营主体</w:t>
      </w:r>
      <w:r>
        <w:rPr>
          <w:rFonts w:hint="eastAsia" w:ascii="仿宋_GB2312" w:hAnsi="仿宋_GB2312" w:eastAsia="仿宋_GB2312" w:cs="仿宋_GB2312"/>
          <w:color w:val="000000"/>
          <w:sz w:val="32"/>
          <w:szCs w:val="32"/>
          <w:lang w:val="en-US" w:eastAsia="zh-CN"/>
        </w:rPr>
        <w:t>在</w:t>
      </w:r>
      <w:r>
        <w:rPr>
          <w:rFonts w:hint="eastAsia" w:ascii="仿宋_GB2312" w:hAnsi="仿宋_GB2312" w:eastAsia="仿宋_GB2312" w:cs="仿宋_GB2312"/>
          <w:color w:val="000000"/>
          <w:sz w:val="32"/>
          <w:szCs w:val="32"/>
          <w:lang w:eastAsia="zh-CN"/>
        </w:rPr>
        <w:t>遭遇牟利性投诉举报时，依法依规收集、固定相关证据，鼓励其通过向市场监管部门提交证据、向公安机关报案、提起诉讼等途径依法维权，切实依法依规保障自身合法权益。对因索赔未达目的，可能引发行政复议或行政诉讼的，应主动靠前作为，全面研判、固定、提交证明其滥用权利、不具备正当利害关系的相关证据，并积极向复议机关或人民法院陈述意见，建议其依法审查并认定该当事人是否具有申请人或原告资格，积极争取司法机关对市场监管部门依法行政处理决定的支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第十二条</w:t>
      </w:r>
      <w:r>
        <w:rPr>
          <w:rFonts w:hint="eastAsia" w:ascii="仿宋_GB2312" w:hAnsi="仿宋_GB2312" w:eastAsia="仿宋_GB2312" w:cs="仿宋_GB2312"/>
          <w:color w:val="000000"/>
          <w:sz w:val="32"/>
          <w:szCs w:val="32"/>
          <w:lang w:val="en-US" w:eastAsia="zh-CN"/>
        </w:rPr>
        <w:t xml:space="preserve"> </w:t>
      </w:r>
      <w:r>
        <w:rPr>
          <w:rFonts w:hint="default" w:ascii="仿宋_GB2312" w:hAnsi="仿宋_GB2312" w:eastAsia="仿宋_GB2312" w:cs="仿宋_GB2312"/>
          <w:color w:val="000000"/>
          <w:sz w:val="32"/>
          <w:szCs w:val="32"/>
          <w:lang w:val="en-US" w:eastAsia="zh-CN"/>
        </w:rPr>
        <w:t>市、</w:t>
      </w:r>
      <w:r>
        <w:rPr>
          <w:rFonts w:hint="eastAsia" w:ascii="仿宋_GB2312" w:hAnsi="仿宋_GB2312" w:eastAsia="仿宋_GB2312" w:cs="仿宋_GB2312"/>
          <w:color w:val="000000"/>
          <w:sz w:val="32"/>
          <w:szCs w:val="32"/>
          <w:lang w:val="en-US" w:eastAsia="zh-CN"/>
        </w:rPr>
        <w:t>县两级</w:t>
      </w:r>
      <w:r>
        <w:rPr>
          <w:rFonts w:hint="default" w:ascii="仿宋_GB2312" w:hAnsi="仿宋_GB2312" w:eastAsia="仿宋_GB2312" w:cs="仿宋_GB2312"/>
          <w:color w:val="000000"/>
          <w:sz w:val="32"/>
          <w:szCs w:val="32"/>
          <w:lang w:val="en-US" w:eastAsia="zh-CN"/>
        </w:rPr>
        <w:t>市场监督管理部门</w:t>
      </w:r>
      <w:r>
        <w:rPr>
          <w:rFonts w:hint="eastAsia" w:ascii="仿宋_GB2312" w:hAnsi="仿宋_GB2312" w:eastAsia="仿宋_GB2312" w:cs="仿宋_GB2312"/>
          <w:color w:val="000000"/>
          <w:sz w:val="32"/>
          <w:szCs w:val="32"/>
          <w:lang w:eastAsia="zh-CN"/>
        </w:rPr>
        <w:t>负责建立并管理投诉举报异常名录，异常名录信息由市场监管、法院、检察院、公安、司法行政、</w:t>
      </w:r>
      <w:r>
        <w:rPr>
          <w:rFonts w:hint="eastAsia" w:ascii="仿宋_GB2312" w:hAnsi="仿宋_GB2312" w:eastAsia="仿宋_GB2312" w:cs="仿宋_GB2312"/>
          <w:color w:val="000000"/>
          <w:sz w:val="32"/>
          <w:szCs w:val="32"/>
          <w:lang w:val="en-US" w:eastAsia="zh-CN"/>
        </w:rPr>
        <w:t>网信、</w:t>
      </w:r>
      <w:r>
        <w:rPr>
          <w:rFonts w:hint="eastAsia" w:ascii="仿宋_GB2312" w:hAnsi="仿宋_GB2312" w:eastAsia="仿宋_GB2312" w:cs="仿宋_GB2312"/>
          <w:color w:val="000000"/>
          <w:sz w:val="32"/>
          <w:szCs w:val="32"/>
          <w:lang w:eastAsia="zh-CN"/>
        </w:rPr>
        <w:t>信访、</w:t>
      </w:r>
      <w:r>
        <w:rPr>
          <w:rFonts w:hint="eastAsia" w:ascii="仿宋_GB2312" w:hAnsi="仿宋_GB2312" w:eastAsia="仿宋_GB2312" w:cs="仿宋_GB2312"/>
          <w:color w:val="000000"/>
          <w:sz w:val="32"/>
          <w:szCs w:val="32"/>
          <w:lang w:val="en-US" w:eastAsia="zh-CN"/>
        </w:rPr>
        <w:t>12345政务热线</w:t>
      </w:r>
      <w:r>
        <w:rPr>
          <w:rFonts w:hint="eastAsia" w:ascii="仿宋_GB2312" w:hAnsi="仿宋_GB2312" w:eastAsia="仿宋_GB2312" w:cs="仿宋_GB2312"/>
          <w:color w:val="000000"/>
          <w:sz w:val="32"/>
          <w:szCs w:val="32"/>
          <w:lang w:eastAsia="zh-CN"/>
        </w:rPr>
        <w:t>等部门依职能及时收集，由市场监管部门汇总和动态调整，并及时通报相关部门，实现信息共享互通，作为认定牟利性投诉举报的重要参考。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第十三条</w:t>
      </w:r>
      <w:r>
        <w:rPr>
          <w:rFonts w:hint="eastAsia" w:ascii="仿宋_GB2312" w:hAnsi="仿宋_GB2312" w:eastAsia="仿宋_GB2312" w:cs="仿宋_GB2312"/>
          <w:color w:val="000000"/>
          <w:sz w:val="32"/>
          <w:szCs w:val="32"/>
          <w:lang w:eastAsia="zh-CN"/>
        </w:rPr>
        <w:t> 异常名录应包含以下核心信息：姓名、公民身份号码、联系电话、联系地址，投诉举报、政府信息公开、行政复议、民事诉讼、行政诉讼、信访事项提出数量，以及主要反映问题、涉及领域或商品服务类别等。各部门在采集、共享和使用异常名录过程中，应当依法保护投诉举报人的个人信息和隐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黑体" w:hAnsi="黑体" w:eastAsia="黑体" w:cs="黑体"/>
          <w:color w:val="000000"/>
          <w:sz w:val="32"/>
          <w:szCs w:val="32"/>
          <w:lang w:val="en-US" w:eastAsia="zh-CN"/>
        </w:rPr>
        <w:t>第十</w:t>
      </w:r>
      <w:r>
        <w:rPr>
          <w:rFonts w:hint="eastAsia" w:ascii="黑体" w:hAnsi="黑体" w:eastAsia="黑体" w:cs="黑体"/>
          <w:color w:val="000000"/>
          <w:sz w:val="32"/>
          <w:szCs w:val="32"/>
          <w:lang w:val="en-US" w:eastAsia="zh-CN"/>
        </w:rPr>
        <w:t>四</w:t>
      </w:r>
      <w:r>
        <w:rPr>
          <w:rFonts w:hint="default" w:ascii="黑体" w:hAnsi="黑体" w:eastAsia="黑体" w:cs="黑体"/>
          <w:color w:val="000000"/>
          <w:sz w:val="32"/>
          <w:szCs w:val="32"/>
          <w:lang w:val="en-US" w:eastAsia="zh-CN"/>
        </w:rPr>
        <w:t>条</w:t>
      </w:r>
      <w:r>
        <w:rPr>
          <w:rFonts w:hint="eastAsia" w:ascii="仿宋_GB2312" w:hAnsi="仿宋_GB2312" w:eastAsia="仿宋_GB2312" w:cs="仿宋_GB2312"/>
          <w:color w:val="000000"/>
          <w:sz w:val="32"/>
          <w:szCs w:val="32"/>
          <w:lang w:val="en-US" w:eastAsia="zh-CN"/>
        </w:rPr>
        <w:t> 构建市场监管、法院、检察院、公安、司法行政、网信、信访、12345政务热线等多部门协同治理工作机制，互通投诉举报、行政复议、行政诉讼、信息公开、信访等数据信息，实现异常名录信息共享，及时会商研判重点、难点问题，共同遏制以牟取不正当利益为目的的投诉举报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一）市场监管部门要审慎判定、及时梳理以牟取不正当利益为目的的投诉举报，建立投诉举报异常名录并定期抄送各有关部门；要强化对投诉举报的大数据分析，进一步完善和落实行政执法和刑事司法工作衔接机制，发现和收集涉嫌违法犯罪线索，并按照有关规定及时移送公安等部门处理；及时办理人民检察院提出的检察建议、检察意见，对违反市场监管领域法律法规的被不起诉人依法给予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二）人民法院充分发挥行政审判职能，对市场监管部门根据《中华人民共和国行政处罚法》等法律法规作出的不予处罚、从轻或减轻处罚等决定，人民法院依法予以支持；依法支持市场监管部门对以牟利为目的的投诉举报行为进行处置；对投诉举报人滥用诉权的行为依法予以规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人民检察院依法履行法律监督职责，加强与人民法院、公安等部门的协作，对公安机关移送的涉嫌敲诈勒索、诈骗等构成犯罪的行为依法开展审查逮捕、审查起诉工作；对人民检察院决定不起诉的案件，经审查认为需要给予被不起诉人行政处罚的，及时提出检察意见；依法依规加强对以牟利为目的的投诉举报行为方面的行政处理、行政诉讼的法律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（四）公安部门</w:t>
      </w:r>
      <w:r>
        <w:rPr>
          <w:rFonts w:hint="eastAsia" w:ascii="仿宋_GB2312" w:hAnsi="仿宋_GB2312" w:eastAsia="仿宋_GB2312" w:cs="仿宋_GB2312"/>
          <w:color w:val="000000"/>
          <w:sz w:val="32"/>
          <w:szCs w:val="32"/>
          <w:lang w:eastAsia="zh-CN"/>
        </w:rPr>
        <w:t>依法严厉打击以“打假”为名实施的敲诈勒索、诈骗、寻衅滋事等违法犯罪行为。针对通过夹带、掉包、造假等故意制造问题产品进行索赔，或者利用威胁、滋扰、纠缠等手段及以干扰正常经营为要挟向经营者索赔，构成违法犯罪的，依法查处。对不构成犯罪但违反《中华人民共和国治安管理处罚法》相关规定的，依法给予治安处罚。形成打击利用投诉举报牟取不正当利益行为的高压态势，切实维护法治化营商环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五）司法行政部门依法履行行政复议职能，在案件审理中，区分以牟利为目的的投诉举报行为和普通消费行为，对于投诉举报人提出的复议申请，依照《中华人民共和国行政复议法》的有关规定进行审查，对不具备利害关系或滥用复议权利的，依法不予受理或驳回申请；依法支持行政机关作出不予受理、不予立案等行政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（六）网信部门加强对属地自媒体“蹭热点”“博流量”等网络行为的监管，配合相关部门依法依规处置牟利性投诉举报信</w:t>
      </w:r>
      <w:r>
        <w:rPr>
          <w:rFonts w:hint="eastAsia" w:ascii="仿宋_GB2312" w:hAnsi="仿宋_GB2312" w:eastAsia="仿宋_GB2312" w:cs="仿宋_GB2312"/>
          <w:color w:val="000000"/>
          <w:sz w:val="32"/>
          <w:szCs w:val="32"/>
          <w:lang w:eastAsia="zh-CN"/>
        </w:rPr>
        <w:t>息和账号。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七）信访部门在登记、受理各类消费纠纷信访事项时，按照《信访工作条例》和信访工作法治化要求进行登记受理，支持相关责任单位依法答复和办理；对自然人、法人或者其他组织的涉消费纠纷的投诉举报，可以告知和引导其通过市场监管部门公布的接收投诉举报的互联网、电话、邮寄地址等渠道进行投诉举报；对涉及纳入异常名录的投诉举报人的诉求，支持市场监管部门按照本意见依法开展处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八）12345热线管理机构：依托12345热线，转办相关投诉举报工单。经承办部门认定为牟利性投诉举报事项，由承办部门向12345热线平台提交不再受理范围申请，确保12345热线资源聚焦解决合理合规诉求，实现为基层和经营主体减负增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sz w:val="32"/>
          <w:szCs w:val="32"/>
          <w:lang w:val="en-US" w:eastAsia="zh-CN"/>
        </w:rPr>
        <w:t>第十五条</w:t>
      </w:r>
      <w:r>
        <w:rPr>
          <w:rFonts w:hint="eastAsia" w:ascii="仿宋_GB2312" w:hAnsi="仿宋_GB2312" w:eastAsia="仿宋_GB2312" w:cs="仿宋_GB2312"/>
          <w:color w:val="000000"/>
          <w:sz w:val="32"/>
          <w:szCs w:val="32"/>
          <w:lang w:val="en-US" w:eastAsia="zh-CN"/>
        </w:rPr>
        <w:t xml:space="preserve">  实施包容审慎监管。针对餐饮、商超、电子商务等牟利性投诉举报多发领域，完善依法不予处罚、减轻处罚、从轻处罚事项清单，坚持过罚相当、处罚与教育相结合原则，杜绝“小过重罚”。市场监督管理部门对符合首违不罚、轻微免罚清单规定的轻微违法行为，经核查属于初次违法、危害后果轻微、及时改正的，依法可以不予立案，严禁“以罚促赔”。</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第十六条</w:t>
      </w:r>
      <w:r>
        <w:rPr>
          <w:rFonts w:hint="eastAsia" w:ascii="仿宋_GB2312" w:hAnsi="仿宋_GB2312" w:eastAsia="仿宋_GB2312" w:cs="仿宋_GB2312"/>
          <w:color w:val="000000"/>
          <w:sz w:val="32"/>
          <w:szCs w:val="32"/>
          <w:lang w:val="en-US" w:eastAsia="zh-CN"/>
        </w:rPr>
        <w:t xml:space="preserve">  强化精准普法宣传。市场监管部门要面向经营主体开展合规经营教育，指导其完善内部管理、整改轻微问题、减少维权漏洞；面向社会公众明晰合法维权与牟利性职业索赔、职业举报行为的法律边界，以案释法强化警示教育。通过双向规范、综合施策，从源头遏制牟利性职业索赔、职业举报</w:t>
      </w:r>
      <w:r>
        <w:rPr>
          <w:rFonts w:hint="eastAsia" w:ascii="仿宋_GB2312" w:hAnsi="仿宋_GB2312" w:eastAsia="仿宋_GB2312" w:cs="仿宋_GB2312"/>
          <w:color w:val="000000"/>
          <w:sz w:val="32"/>
          <w:szCs w:val="32"/>
          <w:lang w:eastAsia="zh-CN"/>
        </w:rPr>
        <w:t>增量问题，持续净化市场环境，全力维护稳定公平透明、可预期的法治化营商环境。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黑体" w:hAnsi="黑体" w:eastAsia="黑体" w:cs="黑体"/>
          <w:color w:val="000000"/>
          <w:sz w:val="32"/>
          <w:szCs w:val="32"/>
          <w:lang w:val="en-US" w:eastAsia="zh-CN"/>
        </w:rPr>
        <w:t>第十七条</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建立处置容错机制。对涉及处置牟利性职业索赔、职业举报行为中的新类型案件、改革探索性案件以及因制度设计等原因发生纠错、满意度测评不理想的情形，已依法依规履职、按法定程序作出处置决定且无明显主观过错的，或能提供合理说明及相关佐证材料，经本单位党组或纪检监察机构认定可免予追责，鼓励积极履职、担当作为。存在故意违法、重大过失或滥用职权情形的，不适用容错机制免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本意见自印发之日起施行。法律法规和规章及上级规范性文件有其他规定的，从其规定。</w:t>
      </w:r>
    </w:p>
    <w:sectPr>
      <w:footerReference r:id="rId3" w:type="default"/>
      <w:pgSz w:w="11906" w:h="16838"/>
      <w:pgMar w:top="2098" w:right="1474" w:bottom="1984" w:left="1587" w:header="851" w:footer="992" w:gutter="0"/>
      <w:lnNumType w:countBy="0" w:distance="36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586C"/>
    <w:rsid w:val="05F01B6A"/>
    <w:rsid w:val="0B57684C"/>
    <w:rsid w:val="11985AD9"/>
    <w:rsid w:val="13566077"/>
    <w:rsid w:val="193131E1"/>
    <w:rsid w:val="1B6A016A"/>
    <w:rsid w:val="1D376385"/>
    <w:rsid w:val="21C67161"/>
    <w:rsid w:val="28DF4D8D"/>
    <w:rsid w:val="296D1BF9"/>
    <w:rsid w:val="32116E77"/>
    <w:rsid w:val="327A1643"/>
    <w:rsid w:val="32AC0C2C"/>
    <w:rsid w:val="4F0E27A3"/>
    <w:rsid w:val="55EE6C7B"/>
    <w:rsid w:val="56F56005"/>
    <w:rsid w:val="604750D1"/>
    <w:rsid w:val="61554423"/>
    <w:rsid w:val="6BBD3F8B"/>
    <w:rsid w:val="6F31219F"/>
    <w:rsid w:val="72A14C98"/>
    <w:rsid w:val="79E62433"/>
    <w:rsid w:val="7D3F3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0"/>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 Text First Indent1"/>
    <w:basedOn w:val="3"/>
    <w:next w:val="5"/>
    <w:qFormat/>
    <w:uiPriority w:val="99"/>
    <w:pPr>
      <w:ind w:firstLine="420" w:firstLineChars="100"/>
    </w:pPr>
    <w:rPr>
      <w:rFonts w:ascii="Calibri" w:hAnsi="Calibri" w:cs="Calibri"/>
      <w:szCs w:val="21"/>
    </w:rPr>
  </w:style>
  <w:style w:type="paragraph" w:styleId="3">
    <w:name w:val="Body Text"/>
    <w:basedOn w:val="1"/>
    <w:next w:val="4"/>
    <w:qFormat/>
    <w:uiPriority w:val="0"/>
    <w:pPr>
      <w:spacing w:before="0" w:after="140" w:line="276" w:lineRule="auto"/>
    </w:pPr>
  </w:style>
  <w:style w:type="paragraph" w:styleId="4">
    <w:name w:val="Body Text First Indent"/>
    <w:basedOn w:val="3"/>
    <w:next w:val="3"/>
    <w:qFormat/>
    <w:uiPriority w:val="0"/>
    <w:pPr>
      <w:widowControl w:val="0"/>
      <w:spacing w:line="500" w:lineRule="exact"/>
      <w:ind w:firstLine="420"/>
      <w:jc w:val="both"/>
    </w:pPr>
    <w:rPr>
      <w:rFonts w:ascii="Calibri" w:hAnsi="Calibri" w:eastAsia="宋体" w:cs="Times New Roman"/>
      <w:kern w:val="2"/>
      <w:sz w:val="32"/>
      <w:szCs w:val="20"/>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c351ba-65e9-4d59-8a00-895cdc9393dc}">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12</Pages>
  <Words>5782</Words>
  <Characters>5818</Characters>
  <Lines>0</Lines>
  <Paragraphs>0</Paragraphs>
  <TotalTime>29</TotalTime>
  <ScaleCrop>false</ScaleCrop>
  <LinksUpToDate>false</LinksUpToDate>
  <CharactersWithSpaces>5843</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ZYH</cp:lastModifiedBy>
  <dcterms:modified xsi:type="dcterms:W3CDTF">2026-09-16T00:41:52Z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KSOTemplateDocerSaveRecord">
    <vt:lpwstr>eyJoZGlkIjoiYzZhYzdmNjlkZDcwZDk3Njk4YzllYmUxNjk5Y2FjZWUiLCJ1c2VySWQiOiI1NjM0NzM0NjEifQ==</vt:lpwstr>
  </property>
  <property fmtid="{D5CDD505-2E9C-101B-9397-08002B2CF9AE}" pid="4" name="ICV">
    <vt:lpwstr>3E5BACD39FFF4653ACBFCA85DEF32079_12</vt:lpwstr>
  </property>
</Properties>
</file>